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D49" w:rsidRPr="006A03E4" w:rsidRDefault="00A851D6">
      <w:pPr>
        <w:tabs>
          <w:tab w:val="left" w:pos="1304"/>
          <w:tab w:val="left" w:pos="1701"/>
        </w:tabs>
        <w:snapToGrid w:val="0"/>
        <w:ind w:left="1701" w:hanging="1701"/>
        <w:rPr>
          <w:rFonts w:ascii="Arial" w:hAnsi="Arial" w:cs="Arial"/>
          <w:sz w:val="22"/>
          <w:szCs w:val="22"/>
        </w:rPr>
      </w:pPr>
      <w:bookmarkStart w:id="0" w:name="OLE_LINK2"/>
      <w:bookmarkStart w:id="1" w:name="OLE_LINK1"/>
      <w:bookmarkStart w:id="2" w:name="_Ref124589665"/>
      <w:bookmarkStart w:id="3" w:name="_Ref71620620"/>
      <w:bookmarkStart w:id="4" w:name="_Ref124671424"/>
      <w:r w:rsidRPr="006A03E4">
        <w:rPr>
          <w:rFonts w:ascii="Arial" w:hAnsi="Arial" w:cs="Arial"/>
          <w:b/>
          <w:bCs/>
          <w:sz w:val="22"/>
          <w:szCs w:val="22"/>
        </w:rPr>
        <w:t>3GPP TSG RAN WG1 #10</w:t>
      </w:r>
      <w:r w:rsidRPr="006A03E4">
        <w:rPr>
          <w:rFonts w:ascii="Arial" w:hAnsi="Arial" w:cs="Arial" w:hint="eastAsia"/>
          <w:b/>
          <w:bCs/>
          <w:sz w:val="22"/>
          <w:szCs w:val="22"/>
        </w:rPr>
        <w:t>4</w:t>
      </w:r>
      <w:r w:rsidR="00CF3F6F" w:rsidRPr="006A03E4">
        <w:rPr>
          <w:rFonts w:ascii="Arial" w:hAnsi="Arial" w:cs="Arial"/>
          <w:b/>
          <w:bCs/>
          <w:sz w:val="22"/>
          <w:szCs w:val="22"/>
        </w:rPr>
        <w:t>b</w:t>
      </w:r>
      <w:r w:rsidRPr="006A03E4">
        <w:rPr>
          <w:rFonts w:ascii="Arial" w:hAnsi="Arial" w:cs="Arial" w:hint="eastAsia"/>
          <w:b/>
          <w:bCs/>
          <w:sz w:val="22"/>
          <w:szCs w:val="22"/>
        </w:rPr>
        <w:t>-</w:t>
      </w:r>
      <w:r w:rsidRPr="006A03E4">
        <w:rPr>
          <w:rFonts w:ascii="Arial" w:hAnsi="Arial" w:cs="Arial"/>
          <w:b/>
          <w:bCs/>
          <w:sz w:val="22"/>
          <w:szCs w:val="22"/>
        </w:rPr>
        <w:t xml:space="preserve">e       </w:t>
      </w:r>
      <w:r w:rsidR="0057125D" w:rsidRPr="006A03E4">
        <w:rPr>
          <w:rFonts w:ascii="Arial" w:hAnsi="Arial" w:cs="Arial"/>
          <w:b/>
          <w:bCs/>
          <w:sz w:val="22"/>
          <w:szCs w:val="22"/>
        </w:rPr>
        <w:t xml:space="preserve">        </w:t>
      </w:r>
      <w:r w:rsidRPr="006A03E4">
        <w:rPr>
          <w:rFonts w:ascii="Arial" w:hAnsi="Arial" w:cs="Arial"/>
          <w:b/>
          <w:bCs/>
          <w:sz w:val="22"/>
          <w:szCs w:val="22"/>
        </w:rPr>
        <w:t xml:space="preserve">                     </w:t>
      </w:r>
      <w:r w:rsidR="00467335">
        <w:rPr>
          <w:rFonts w:ascii="Arial" w:hAnsi="Arial" w:cs="Arial"/>
          <w:b/>
          <w:bCs/>
          <w:sz w:val="22"/>
          <w:szCs w:val="22"/>
        </w:rPr>
        <w:t>R1-2102920</w:t>
      </w:r>
    </w:p>
    <w:p w:rsidR="00567D49" w:rsidRDefault="00A851D6">
      <w:pPr>
        <w:tabs>
          <w:tab w:val="left" w:pos="1304"/>
          <w:tab w:val="left" w:pos="1701"/>
        </w:tabs>
        <w:snapToGrid w:val="0"/>
        <w:ind w:left="1701" w:hanging="1701"/>
        <w:rPr>
          <w:rFonts w:ascii="Arial" w:hAnsi="Arial" w:cs="Arial"/>
          <w:sz w:val="22"/>
          <w:szCs w:val="22"/>
        </w:rPr>
      </w:pPr>
      <w:proofErr w:type="gramStart"/>
      <w:r w:rsidRPr="006A03E4">
        <w:rPr>
          <w:rFonts w:ascii="Arial" w:hAnsi="Arial" w:cs="Arial"/>
          <w:b/>
          <w:bCs/>
          <w:sz w:val="22"/>
          <w:szCs w:val="22"/>
        </w:rPr>
        <w:t>e-Meeting</w:t>
      </w:r>
      <w:proofErr w:type="gramEnd"/>
      <w:r w:rsidRPr="006A03E4">
        <w:rPr>
          <w:rFonts w:ascii="Arial" w:hAnsi="Arial" w:cs="Arial"/>
          <w:b/>
          <w:bCs/>
          <w:sz w:val="22"/>
          <w:szCs w:val="22"/>
        </w:rPr>
        <w:t>, April 12</w:t>
      </w:r>
      <w:r w:rsidRPr="006A03E4">
        <w:rPr>
          <w:rFonts w:ascii="Arial" w:hAnsi="Arial" w:cs="Arial"/>
          <w:b/>
          <w:bCs/>
          <w:sz w:val="22"/>
          <w:szCs w:val="22"/>
          <w:vertAlign w:val="superscript"/>
        </w:rPr>
        <w:t>th</w:t>
      </w:r>
      <w:r w:rsidRPr="006A03E4">
        <w:rPr>
          <w:rFonts w:ascii="Arial" w:hAnsi="Arial" w:cs="Arial"/>
          <w:b/>
          <w:bCs/>
          <w:sz w:val="22"/>
          <w:szCs w:val="22"/>
        </w:rPr>
        <w:t xml:space="preserve"> – </w:t>
      </w:r>
      <w:r w:rsidR="00CF3F6F" w:rsidRPr="006A03E4">
        <w:rPr>
          <w:rFonts w:ascii="Arial" w:hAnsi="Arial" w:cs="Arial"/>
          <w:b/>
          <w:bCs/>
          <w:sz w:val="22"/>
          <w:szCs w:val="22"/>
        </w:rPr>
        <w:t>20</w:t>
      </w:r>
      <w:r w:rsidRPr="006A03E4">
        <w:rPr>
          <w:rFonts w:ascii="Arial" w:hAnsi="Arial" w:cs="Arial"/>
          <w:b/>
          <w:bCs/>
          <w:sz w:val="22"/>
          <w:szCs w:val="22"/>
          <w:vertAlign w:val="superscript"/>
        </w:rPr>
        <w:t>th</w:t>
      </w:r>
      <w:r w:rsidRPr="006A03E4">
        <w:rPr>
          <w:rFonts w:ascii="Arial" w:hAnsi="Arial" w:cs="Arial"/>
          <w:b/>
          <w:bCs/>
          <w:sz w:val="22"/>
          <w:szCs w:val="22"/>
        </w:rPr>
        <w:t>, 202</w:t>
      </w:r>
      <w:r w:rsidRPr="006A03E4">
        <w:rPr>
          <w:rFonts w:ascii="Arial" w:hAnsi="Arial" w:cs="Arial" w:hint="eastAsia"/>
          <w:b/>
          <w:bCs/>
          <w:sz w:val="22"/>
          <w:szCs w:val="22"/>
        </w:rPr>
        <w:t>1</w:t>
      </w:r>
    </w:p>
    <w:p w:rsidR="00567D49" w:rsidRDefault="00567D49">
      <w:pPr>
        <w:tabs>
          <w:tab w:val="left" w:pos="1800"/>
          <w:tab w:val="right" w:pos="9360"/>
        </w:tabs>
        <w:snapToGrid w:val="0"/>
        <w:rPr>
          <w:rFonts w:ascii="Arial" w:hAnsi="Arial" w:cs="Arial"/>
          <w:b/>
          <w:sz w:val="22"/>
          <w:szCs w:val="22"/>
        </w:rPr>
      </w:pPr>
    </w:p>
    <w:p w:rsidR="00567D49" w:rsidRDefault="00A851D6">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567D49" w:rsidRDefault="00A851D6">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Discussion</w:t>
      </w:r>
      <w:r>
        <w:rPr>
          <w:rFonts w:ascii="Arial" w:hAnsi="Arial" w:cs="Arial"/>
          <w:b/>
          <w:sz w:val="22"/>
          <w:szCs w:val="22"/>
        </w:rPr>
        <w:t xml:space="preserve"> on additional enhancements for IoT-NTN</w:t>
      </w:r>
    </w:p>
    <w:p w:rsidR="00567D49" w:rsidRDefault="00A851D6">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w:t>
      </w:r>
      <w:r>
        <w:rPr>
          <w:rFonts w:ascii="Arial" w:hAnsi="Arial" w:cs="Arial" w:hint="eastAsia"/>
          <w:b/>
          <w:sz w:val="22"/>
          <w:szCs w:val="22"/>
        </w:rPr>
        <w:t>5</w:t>
      </w:r>
    </w:p>
    <w:p w:rsidR="00567D49" w:rsidRDefault="00A851D6">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567D49" w:rsidRDefault="00A851D6">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567D49" w:rsidRDefault="00A851D6">
      <w:pPr>
        <w:adjustRightInd w:val="0"/>
        <w:snapToGrid w:val="0"/>
        <w:rPr>
          <w:sz w:val="20"/>
          <w:szCs w:val="20"/>
        </w:rPr>
      </w:pPr>
      <w:r>
        <w:rPr>
          <w:sz w:val="20"/>
          <w:szCs w:val="20"/>
        </w:rPr>
        <w:t>In RAN</w:t>
      </w:r>
      <w:r>
        <w:rPr>
          <w:rFonts w:hint="eastAsia"/>
          <w:sz w:val="20"/>
          <w:szCs w:val="20"/>
        </w:rPr>
        <w:t xml:space="preserve">1#104e, </w:t>
      </w:r>
      <w:r>
        <w:rPr>
          <w:sz w:val="20"/>
          <w:szCs w:val="20"/>
        </w:rPr>
        <w:t xml:space="preserve">the SI for IoT-NTN </w:t>
      </w:r>
      <w:r>
        <w:rPr>
          <w:rFonts w:hint="eastAsia"/>
          <w:sz w:val="20"/>
          <w:szCs w:val="20"/>
        </w:rPr>
        <w:fldChar w:fldCharType="begin"/>
      </w:r>
      <w:r>
        <w:rPr>
          <w:sz w:val="20"/>
          <w:szCs w:val="20"/>
        </w:rPr>
        <w:instrText xml:space="preserve"> REF _Ref40282619 \r \h  \* MERGEFORMAT </w:instrText>
      </w:r>
      <w:r>
        <w:rPr>
          <w:rFonts w:hint="eastAsia"/>
          <w:sz w:val="20"/>
          <w:szCs w:val="20"/>
        </w:rPr>
      </w:r>
      <w:r>
        <w:rPr>
          <w:rFonts w:hint="eastAsia"/>
          <w:sz w:val="20"/>
          <w:szCs w:val="20"/>
        </w:rPr>
        <w:fldChar w:fldCharType="separate"/>
      </w:r>
      <w:r>
        <w:rPr>
          <w:sz w:val="20"/>
          <w:szCs w:val="20"/>
        </w:rPr>
        <w:t>[1]</w:t>
      </w:r>
      <w:r>
        <w:rPr>
          <w:rFonts w:hint="eastAsia"/>
          <w:sz w:val="20"/>
          <w:szCs w:val="20"/>
        </w:rPr>
        <w:fldChar w:fldCharType="end"/>
      </w:r>
      <w:r>
        <w:rPr>
          <w:sz w:val="20"/>
          <w:szCs w:val="20"/>
        </w:rPr>
        <w:t xml:space="preserve"> has been </w:t>
      </w:r>
      <w:r>
        <w:rPr>
          <w:rFonts w:hint="eastAsia"/>
          <w:sz w:val="20"/>
          <w:szCs w:val="20"/>
        </w:rPr>
        <w:t xml:space="preserve">discussed </w:t>
      </w:r>
      <w:r>
        <w:rPr>
          <w:sz w:val="20"/>
          <w:szCs w:val="20"/>
        </w:rPr>
        <w:t xml:space="preserve">with </w:t>
      </w:r>
      <w:r>
        <w:rPr>
          <w:rFonts w:hint="eastAsia"/>
          <w:sz w:val="20"/>
          <w:szCs w:val="20"/>
        </w:rPr>
        <w:t xml:space="preserve">agreements on the scenarios and UE assumptions. </w:t>
      </w:r>
      <w:r>
        <w:rPr>
          <w:sz w:val="20"/>
          <w:szCs w:val="20"/>
        </w:rPr>
        <w:t>In this contribution, identified issues including beam management</w:t>
      </w:r>
      <w:r>
        <w:rPr>
          <w:rFonts w:hint="eastAsia"/>
          <w:sz w:val="20"/>
          <w:szCs w:val="20"/>
        </w:rPr>
        <w:t>, polarization indication</w:t>
      </w:r>
      <w:r>
        <w:rPr>
          <w:sz w:val="20"/>
          <w:szCs w:val="20"/>
        </w:rPr>
        <w:t xml:space="preserve"> and power consumption are discussed. </w:t>
      </w:r>
    </w:p>
    <w:p w:rsidR="00567D49" w:rsidRDefault="00A851D6">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Technical issues to support </w:t>
      </w:r>
      <w:r>
        <w:rPr>
          <w:rFonts w:eastAsia="黑体" w:cs="Times New Roman"/>
          <w:b/>
          <w:bCs/>
          <w:sz w:val="28"/>
          <w:szCs w:val="30"/>
          <w:lang w:val="en-US"/>
        </w:rPr>
        <w:t>IoT over NTN</w:t>
      </w:r>
    </w:p>
    <w:p w:rsidR="00567D49" w:rsidRDefault="00A851D6">
      <w:pPr>
        <w:pStyle w:val="1"/>
        <w:keepNext w:val="0"/>
        <w:keepLines w:val="0"/>
        <w:widowControl w:val="0"/>
        <w:numPr>
          <w:ilvl w:val="1"/>
          <w:numId w:val="3"/>
        </w:numPr>
        <w:pBdr>
          <w:top w:val="none" w:sz="0" w:space="0" w:color="auto"/>
        </w:pBdr>
        <w:tabs>
          <w:tab w:val="left" w:pos="432"/>
          <w:tab w:val="left" w:pos="4827"/>
        </w:tabs>
        <w:overflowPunct/>
        <w:snapToGrid w:val="0"/>
        <w:spacing w:beforeLines="50" w:before="156" w:afterLines="50" w:after="156"/>
        <w:ind w:left="851" w:hanging="851"/>
        <w:textAlignment w:val="auto"/>
        <w:rPr>
          <w:rFonts w:eastAsia="黑体"/>
          <w:b/>
          <w:bCs/>
          <w:sz w:val="24"/>
          <w:szCs w:val="24"/>
          <w:lang w:val="en-US"/>
        </w:rPr>
      </w:pPr>
      <w:r>
        <w:rPr>
          <w:rFonts w:eastAsia="黑体"/>
          <w:b/>
          <w:bCs/>
          <w:sz w:val="24"/>
          <w:szCs w:val="24"/>
          <w:lang w:val="en-US"/>
        </w:rPr>
        <w:t>Beam management</w:t>
      </w:r>
    </w:p>
    <w:p w:rsidR="00567D49" w:rsidRDefault="00A851D6">
      <w:pPr>
        <w:adjustRightInd w:val="0"/>
        <w:snapToGrid w:val="0"/>
        <w:spacing w:beforeLines="50" w:before="156" w:afterLines="50" w:after="156"/>
        <w:rPr>
          <w:sz w:val="20"/>
          <w:szCs w:val="20"/>
        </w:rPr>
      </w:pPr>
      <w:r>
        <w:rPr>
          <w:sz w:val="20"/>
          <w:szCs w:val="20"/>
        </w:rPr>
        <w:t>In NTN deployment, the coverage of a NTN cell can be implemented by either multiple satellite beams</w:t>
      </w:r>
      <w:r>
        <w:rPr>
          <w:rFonts w:hint="eastAsia"/>
          <w:sz w:val="20"/>
          <w:szCs w:val="20"/>
        </w:rPr>
        <w:t xml:space="preserve"> or </w:t>
      </w:r>
      <w:r>
        <w:rPr>
          <w:sz w:val="20"/>
          <w:szCs w:val="20"/>
        </w:rPr>
        <w:t>a single satellite beam</w:t>
      </w:r>
      <w:r>
        <w:rPr>
          <w:rFonts w:hint="eastAsia"/>
          <w:sz w:val="20"/>
          <w:szCs w:val="20"/>
        </w:rPr>
        <w:t>,</w:t>
      </w:r>
      <w:r>
        <w:rPr>
          <w:sz w:val="20"/>
          <w:szCs w:val="20"/>
        </w:rPr>
        <w:t xml:space="preserve"> as illustrated in </w:t>
      </w:r>
      <w:r>
        <w:rPr>
          <w:sz w:val="20"/>
          <w:szCs w:val="20"/>
        </w:rPr>
        <w:fldChar w:fldCharType="begin"/>
      </w:r>
      <w:r>
        <w:rPr>
          <w:sz w:val="20"/>
          <w:szCs w:val="20"/>
        </w:rPr>
        <w:instrText xml:space="preserve"> REF _Ref61339436 \h  \* MERGEFORMAT </w:instrText>
      </w:r>
      <w:r>
        <w:rPr>
          <w:sz w:val="20"/>
          <w:szCs w:val="20"/>
        </w:rPr>
      </w:r>
      <w:r>
        <w:rPr>
          <w:sz w:val="20"/>
          <w:szCs w:val="20"/>
        </w:rPr>
        <w:fldChar w:fldCharType="separate"/>
      </w:r>
      <w:r>
        <w:rPr>
          <w:sz w:val="20"/>
          <w:szCs w:val="20"/>
        </w:rPr>
        <w:t>Figure 1</w:t>
      </w:r>
      <w:r>
        <w:rPr>
          <w:sz w:val="20"/>
          <w:szCs w:val="20"/>
        </w:rPr>
        <w:fldChar w:fldCharType="end"/>
      </w:r>
      <w:r>
        <w:rPr>
          <w:sz w:val="20"/>
          <w:szCs w:val="20"/>
        </w:rPr>
        <w:t>.</w:t>
      </w:r>
    </w:p>
    <w:p w:rsidR="00567D49" w:rsidRDefault="00A851D6">
      <w:pPr>
        <w:keepNext/>
        <w:adjustRightInd w:val="0"/>
        <w:snapToGrid w:val="0"/>
        <w:spacing w:beforeLines="50" w:before="156" w:afterLines="50" w:after="156"/>
        <w:jc w:val="center"/>
        <w:rPr>
          <w:sz w:val="20"/>
          <w:szCs w:val="20"/>
        </w:rPr>
      </w:pPr>
      <w:r>
        <w:rPr>
          <w:noProof/>
          <w:sz w:val="20"/>
          <w:szCs w:val="20"/>
        </w:rPr>
        <w:drawing>
          <wp:inline distT="0" distB="0" distL="0" distR="0">
            <wp:extent cx="2730500" cy="18522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39298" cy="1858402"/>
                    </a:xfrm>
                    <a:prstGeom prst="rect">
                      <a:avLst/>
                    </a:prstGeom>
                    <a:noFill/>
                    <a:ln>
                      <a:noFill/>
                    </a:ln>
                  </pic:spPr>
                </pic:pic>
              </a:graphicData>
            </a:graphic>
          </wp:inline>
        </w:drawing>
      </w:r>
    </w:p>
    <w:p w:rsidR="00567D49" w:rsidRDefault="00A851D6">
      <w:pPr>
        <w:pStyle w:val="a3"/>
        <w:jc w:val="center"/>
      </w:pPr>
      <w:bookmarkStart w:id="5" w:name="_Ref61339436"/>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5"/>
      <w:r>
        <w:rPr>
          <w:rFonts w:ascii="Times New Roman" w:hAnsi="Times New Roman" w:cs="Times New Roman"/>
        </w:rPr>
        <w:t xml:space="preserve"> Mapping between beams and </w:t>
      </w:r>
      <w:r>
        <w:rPr>
          <w:rFonts w:ascii="Times New Roman" w:hAnsi="Times New Roman" w:cs="Times New Roman" w:hint="eastAsia"/>
        </w:rPr>
        <w:t>c</w:t>
      </w:r>
      <w:r>
        <w:rPr>
          <w:rFonts w:ascii="Times New Roman" w:hAnsi="Times New Roman" w:cs="Times New Roman"/>
        </w:rPr>
        <w:t xml:space="preserve">ell in </w:t>
      </w:r>
      <w:r>
        <w:rPr>
          <w:rFonts w:ascii="Times New Roman" w:hAnsi="Times New Roman" w:cs="Times New Roman"/>
        </w:rPr>
        <w:fldChar w:fldCharType="begin"/>
      </w:r>
      <w:r>
        <w:rPr>
          <w:rFonts w:ascii="Times New Roman" w:hAnsi="Times New Roman" w:cs="Times New Roman"/>
        </w:rPr>
        <w:instrText xml:space="preserve"> REF _Ref61339423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w:t>
      </w:r>
    </w:p>
    <w:p w:rsidR="00567D49" w:rsidRDefault="00A851D6">
      <w:pPr>
        <w:adjustRightInd w:val="0"/>
        <w:snapToGrid w:val="0"/>
        <w:spacing w:beforeLines="50" w:before="156" w:afterLines="50" w:after="156"/>
        <w:rPr>
          <w:sz w:val="20"/>
          <w:szCs w:val="20"/>
        </w:rPr>
      </w:pPr>
      <w:r>
        <w:rPr>
          <w:sz w:val="20"/>
          <w:szCs w:val="20"/>
        </w:rPr>
        <w:t xml:space="preserve">In NR-NTN discussion, both </w:t>
      </w:r>
      <w:r>
        <w:rPr>
          <w:rFonts w:hint="eastAsia"/>
          <w:sz w:val="20"/>
          <w:szCs w:val="20"/>
        </w:rPr>
        <w:t xml:space="preserve">options </w:t>
      </w:r>
      <w:r>
        <w:rPr>
          <w:sz w:val="20"/>
          <w:szCs w:val="20"/>
        </w:rPr>
        <w:t>are supported</w:t>
      </w:r>
      <w:r>
        <w:rPr>
          <w:rFonts w:hint="eastAsia"/>
          <w:sz w:val="20"/>
          <w:szCs w:val="20"/>
        </w:rPr>
        <w:t xml:space="preserve">. However, from the viewpoint of reducing </w:t>
      </w:r>
      <w:r>
        <w:rPr>
          <w:sz w:val="20"/>
          <w:szCs w:val="20"/>
        </w:rPr>
        <w:t>frequent handover</w:t>
      </w:r>
      <w:r>
        <w:rPr>
          <w:rFonts w:hint="eastAsia"/>
          <w:sz w:val="20"/>
          <w:szCs w:val="20"/>
        </w:rPr>
        <w:t xml:space="preserve">, option A (a cell with multiple beams) is preferred. </w:t>
      </w:r>
      <w:r>
        <w:rPr>
          <w:sz w:val="20"/>
          <w:szCs w:val="20"/>
        </w:rPr>
        <w:t xml:space="preserve">More specifically, </w:t>
      </w:r>
      <w:r>
        <w:rPr>
          <w:rFonts w:hint="eastAsia"/>
          <w:sz w:val="20"/>
          <w:szCs w:val="20"/>
        </w:rPr>
        <w:t xml:space="preserve">with the deployment in option B, (1) RRC_CONNECTED UEs have to handover more </w:t>
      </w:r>
      <w:r>
        <w:rPr>
          <w:sz w:val="20"/>
          <w:szCs w:val="20"/>
        </w:rPr>
        <w:t>frequent</w:t>
      </w:r>
      <w:r>
        <w:rPr>
          <w:rFonts w:hint="eastAsia"/>
          <w:sz w:val="20"/>
          <w:szCs w:val="20"/>
        </w:rPr>
        <w:t xml:space="preserve">ly, and (2) RRC_IDLE UEs have to </w:t>
      </w:r>
      <w:r>
        <w:rPr>
          <w:sz w:val="20"/>
          <w:szCs w:val="20"/>
        </w:rPr>
        <w:t xml:space="preserve">perform measurements </w:t>
      </w:r>
      <w:r>
        <w:rPr>
          <w:rFonts w:hint="eastAsia"/>
          <w:sz w:val="20"/>
          <w:szCs w:val="20"/>
        </w:rPr>
        <w:t xml:space="preserve">and carry out </w:t>
      </w:r>
      <w:r>
        <w:rPr>
          <w:sz w:val="20"/>
          <w:szCs w:val="20"/>
        </w:rPr>
        <w:t>cell reselection</w:t>
      </w:r>
      <w:r>
        <w:rPr>
          <w:rFonts w:hint="eastAsia"/>
          <w:sz w:val="20"/>
          <w:szCs w:val="20"/>
        </w:rPr>
        <w:t xml:space="preserve"> more </w:t>
      </w:r>
      <w:r>
        <w:rPr>
          <w:sz w:val="20"/>
          <w:szCs w:val="20"/>
        </w:rPr>
        <w:t>frequent</w:t>
      </w:r>
      <w:r>
        <w:rPr>
          <w:rFonts w:hint="eastAsia"/>
          <w:sz w:val="20"/>
          <w:szCs w:val="20"/>
        </w:rPr>
        <w:t>ly</w:t>
      </w:r>
      <w:r>
        <w:rPr>
          <w:sz w:val="20"/>
          <w:szCs w:val="20"/>
        </w:rPr>
        <w:t>, which is also not preferred by the IoT device. For example, in legacy NB-IoT, connected mobility (e.g., handover and measurement report) is not supported</w:t>
      </w:r>
      <w:r>
        <w:rPr>
          <w:rFonts w:hint="eastAsia"/>
          <w:sz w:val="20"/>
          <w:szCs w:val="20"/>
        </w:rPr>
        <w:t>,</w:t>
      </w:r>
      <w:r>
        <w:rPr>
          <w:sz w:val="20"/>
          <w:szCs w:val="20"/>
        </w:rPr>
        <w:t xml:space="preserve"> since both NB-IoT UEs and </w:t>
      </w:r>
      <w:proofErr w:type="spellStart"/>
      <w:r>
        <w:rPr>
          <w:sz w:val="20"/>
          <w:szCs w:val="20"/>
        </w:rPr>
        <w:t>eNBs</w:t>
      </w:r>
      <w:proofErr w:type="spellEnd"/>
      <w:r>
        <w:rPr>
          <w:sz w:val="20"/>
          <w:szCs w:val="20"/>
        </w:rPr>
        <w:t xml:space="preserve"> are assumed to be generally stationary on Earth, which is not </w:t>
      </w:r>
      <w:r>
        <w:rPr>
          <w:rFonts w:hint="eastAsia"/>
          <w:sz w:val="20"/>
          <w:szCs w:val="20"/>
        </w:rPr>
        <w:t>h</w:t>
      </w:r>
      <w:r>
        <w:rPr>
          <w:sz w:val="20"/>
          <w:szCs w:val="20"/>
        </w:rPr>
        <w:t>e</w:t>
      </w:r>
      <w:r>
        <w:rPr>
          <w:rFonts w:hint="eastAsia"/>
          <w:sz w:val="20"/>
          <w:szCs w:val="20"/>
        </w:rPr>
        <w:t xml:space="preserve">ld in NTN scenarios. </w:t>
      </w:r>
    </w:p>
    <w:p w:rsidR="00567D49" w:rsidRDefault="00A851D6">
      <w:pPr>
        <w:adjustRightInd w:val="0"/>
        <w:snapToGrid w:val="0"/>
        <w:spacing w:beforeLines="50" w:before="156" w:afterLines="50" w:after="156"/>
        <w:rPr>
          <w:sz w:val="20"/>
          <w:szCs w:val="20"/>
        </w:rPr>
      </w:pPr>
      <w:r>
        <w:rPr>
          <w:rFonts w:hint="eastAsia"/>
          <w:sz w:val="20"/>
          <w:szCs w:val="20"/>
        </w:rPr>
        <w:t>S</w:t>
      </w:r>
      <w:r>
        <w:rPr>
          <w:sz w:val="20"/>
          <w:szCs w:val="20"/>
        </w:rPr>
        <w:t xml:space="preserve">ince </w:t>
      </w:r>
      <w:r>
        <w:rPr>
          <w:rFonts w:hint="eastAsia"/>
          <w:sz w:val="20"/>
          <w:szCs w:val="20"/>
        </w:rPr>
        <w:t>there is no concept of beam in legacy LTE</w:t>
      </w:r>
      <w:r>
        <w:rPr>
          <w:sz w:val="20"/>
          <w:szCs w:val="20"/>
        </w:rPr>
        <w:t xml:space="preserve"> including NB-IoT, </w:t>
      </w:r>
      <w:r>
        <w:rPr>
          <w:rFonts w:hint="eastAsia"/>
          <w:sz w:val="20"/>
          <w:szCs w:val="20"/>
        </w:rPr>
        <w:t>following options can be considered to define beams in IoT over NTN scenarios</w:t>
      </w:r>
      <w:r>
        <w:rPr>
          <w:sz w:val="20"/>
          <w:szCs w:val="20"/>
        </w:rPr>
        <w:t>:</w:t>
      </w:r>
    </w:p>
    <w:p w:rsidR="00567D49" w:rsidRDefault="00A851D6">
      <w:pPr>
        <w:pStyle w:val="af1"/>
        <w:numPr>
          <w:ilvl w:val="0"/>
          <w:numId w:val="4"/>
        </w:numPr>
        <w:adjustRightInd w:val="0"/>
        <w:snapToGrid w:val="0"/>
        <w:spacing w:beforeLines="50" w:before="156" w:afterLines="50" w:after="156"/>
        <w:ind w:firstLineChars="0"/>
        <w:rPr>
          <w:sz w:val="20"/>
          <w:szCs w:val="20"/>
        </w:rPr>
      </w:pPr>
      <w:r>
        <w:rPr>
          <w:rFonts w:hint="eastAsia"/>
          <w:b/>
          <w:bCs/>
          <w:sz w:val="20"/>
          <w:szCs w:val="20"/>
        </w:rPr>
        <w:t>Explicit beam ID indication:</w:t>
      </w:r>
      <w:r>
        <w:rPr>
          <w:rFonts w:hint="eastAsia"/>
          <w:sz w:val="20"/>
          <w:szCs w:val="20"/>
        </w:rPr>
        <w:t xml:space="preserve"> </w:t>
      </w:r>
    </w:p>
    <w:p w:rsidR="00567D49" w:rsidRDefault="00A851D6">
      <w:pPr>
        <w:pStyle w:val="af1"/>
        <w:numPr>
          <w:ilvl w:val="255"/>
          <w:numId w:val="0"/>
        </w:numPr>
        <w:adjustRightInd w:val="0"/>
        <w:snapToGrid w:val="0"/>
        <w:spacing w:beforeLines="50" w:before="156" w:afterLines="50" w:after="156"/>
        <w:ind w:left="420"/>
        <w:rPr>
          <w:sz w:val="20"/>
          <w:szCs w:val="20"/>
        </w:rPr>
      </w:pPr>
      <w:r>
        <w:rPr>
          <w:rFonts w:hint="eastAsia"/>
          <w:sz w:val="20"/>
          <w:szCs w:val="20"/>
        </w:rPr>
        <w:t>For a cell with multiple satellite beams, beam ID can be included in system information as a new information element. For example, a beam ID can be constructed using a similar way as used by current cell ID construction, i.e.</w:t>
      </w:r>
      <w:proofErr w:type="gramStart"/>
      <w:r>
        <w:rPr>
          <w:rFonts w:hint="eastAsia"/>
          <w:sz w:val="20"/>
          <w:szCs w:val="20"/>
        </w:rPr>
        <w:t xml:space="preserve">, </w:t>
      </w:r>
      <w:proofErr w:type="gramEnd"/>
      <w:r>
        <w:rPr>
          <w:rFonts w:ascii="华文仿宋" w:eastAsia="华文仿宋" w:hAnsi="华文仿宋" w:hint="eastAsia"/>
          <w:color w:val="000000"/>
          <w:position w:val="-14"/>
        </w:rPr>
        <w:object w:dxaOrig="2279" w:dyaOrig="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05pt;height:17.8pt" o:ole="">
            <v:imagedata r:id="rId10" o:title=""/>
          </v:shape>
          <o:OLEObject Type="Embed" ProgID="Equation.KSEE3" ShapeID="_x0000_i1025" DrawAspect="Content" ObjectID="_1679223501" r:id="rId11"/>
        </w:object>
      </w:r>
      <w:r>
        <w:rPr>
          <w:rFonts w:hint="eastAsia"/>
          <w:sz w:val="20"/>
          <w:szCs w:val="20"/>
        </w:rPr>
        <w:t xml:space="preserve">. The </w:t>
      </w:r>
      <w:r>
        <w:rPr>
          <w:rFonts w:hint="eastAsia"/>
          <w:position w:val="-14"/>
          <w:sz w:val="20"/>
          <w:szCs w:val="20"/>
        </w:rPr>
        <w:object w:dxaOrig="740" w:dyaOrig="380">
          <v:shape id="_x0000_i1026" type="#_x0000_t75" style="width:37.05pt;height:19.25pt" o:ole="">
            <v:imagedata r:id="rId12" o:title=""/>
          </v:shape>
          <o:OLEObject Type="Embed" ProgID="Equation.KSEE3" ShapeID="_x0000_i1026" DrawAspect="Content" ObjectID="_1679223502" r:id="rId13"/>
        </w:object>
      </w:r>
      <w:r>
        <w:rPr>
          <w:rFonts w:hint="eastAsia"/>
          <w:sz w:val="20"/>
          <w:szCs w:val="20"/>
        </w:rPr>
        <w:t xml:space="preserve"> can be used in PBCH bit scrambling together with </w:t>
      </w:r>
      <w:proofErr w:type="gramStart"/>
      <w:r>
        <w:rPr>
          <w:rFonts w:hint="eastAsia"/>
          <w:sz w:val="20"/>
          <w:szCs w:val="20"/>
        </w:rPr>
        <w:t xml:space="preserve">the </w:t>
      </w:r>
      <w:proofErr w:type="gramEnd"/>
      <w:r>
        <w:rPr>
          <w:rFonts w:hint="eastAsia"/>
          <w:position w:val="-10"/>
          <w:sz w:val="20"/>
          <w:szCs w:val="20"/>
        </w:rPr>
        <w:object w:dxaOrig="560" w:dyaOrig="340">
          <v:shape id="_x0000_i1027" type="#_x0000_t75" style="width:27.8pt;height:17.1pt" o:ole="">
            <v:imagedata r:id="rId14" o:title=""/>
          </v:shape>
          <o:OLEObject Type="Embed" ProgID="Equation.KSEE3" ShapeID="_x0000_i1027" DrawAspect="Content" ObjectID="_1679223503" r:id="rId15"/>
        </w:object>
      </w:r>
      <w:r>
        <w:rPr>
          <w:rFonts w:hint="eastAsia"/>
          <w:sz w:val="20"/>
          <w:szCs w:val="20"/>
        </w:rPr>
        <w:t xml:space="preserve">. Or the </w:t>
      </w:r>
      <w:r>
        <w:rPr>
          <w:rFonts w:hint="eastAsia"/>
          <w:position w:val="-14"/>
          <w:sz w:val="20"/>
          <w:szCs w:val="20"/>
        </w:rPr>
        <w:object w:dxaOrig="740" w:dyaOrig="380">
          <v:shape id="_x0000_i1028" type="#_x0000_t75" style="width:37.05pt;height:19.25pt" o:ole="">
            <v:imagedata r:id="rId12" o:title=""/>
          </v:shape>
          <o:OLEObject Type="Embed" ProgID="Equation.KSEE3" ShapeID="_x0000_i1028" DrawAspect="Content" ObjectID="_1679223504" r:id="rId16"/>
        </w:object>
      </w:r>
      <w:r>
        <w:rPr>
          <w:rFonts w:hint="eastAsia"/>
          <w:sz w:val="20"/>
          <w:szCs w:val="20"/>
        </w:rPr>
        <w:t xml:space="preserve"> can be used as cover code applied on multiple OFDM symbols of SSS. And </w:t>
      </w:r>
      <w:proofErr w:type="gramStart"/>
      <w:r>
        <w:rPr>
          <w:rFonts w:hint="eastAsia"/>
          <w:sz w:val="20"/>
          <w:szCs w:val="20"/>
        </w:rPr>
        <w:t xml:space="preserve">the </w:t>
      </w:r>
      <w:r>
        <w:rPr>
          <w:rFonts w:hint="eastAsia"/>
          <w:position w:val="-14"/>
          <w:sz w:val="20"/>
          <w:szCs w:val="20"/>
        </w:rPr>
        <w:object w:dxaOrig="740" w:dyaOrig="380">
          <v:shape id="_x0000_i1029" type="#_x0000_t75" alt="" style="width:37.05pt;height:19.25pt" o:ole="">
            <v:imagedata r:id="rId17" o:title=""/>
          </v:shape>
          <o:OLEObject Type="Embed" ProgID="Equation.KSEE3" ShapeID="_x0000_i1029" DrawAspect="Content" ObjectID="_1679223505" r:id="rId18"/>
        </w:object>
      </w:r>
      <w:r>
        <w:rPr>
          <w:rFonts w:hint="eastAsia"/>
          <w:sz w:val="20"/>
          <w:szCs w:val="20"/>
        </w:rPr>
        <w:t xml:space="preserve"> is</w:t>
      </w:r>
      <w:proofErr w:type="gramEnd"/>
      <w:r>
        <w:rPr>
          <w:rFonts w:hint="eastAsia"/>
          <w:sz w:val="20"/>
          <w:szCs w:val="20"/>
        </w:rPr>
        <w:t xml:space="preserve"> included in MIB as a new information element, which is only applicable for IoT over NTN scenarios.</w:t>
      </w:r>
    </w:p>
    <w:p w:rsidR="00567D49" w:rsidRDefault="00A851D6">
      <w:pPr>
        <w:pStyle w:val="af1"/>
        <w:numPr>
          <w:ilvl w:val="0"/>
          <w:numId w:val="4"/>
        </w:numPr>
        <w:adjustRightInd w:val="0"/>
        <w:snapToGrid w:val="0"/>
        <w:spacing w:beforeLines="50" w:before="156" w:afterLines="50" w:after="156"/>
        <w:ind w:firstLineChars="0"/>
        <w:rPr>
          <w:sz w:val="20"/>
          <w:szCs w:val="20"/>
        </w:rPr>
      </w:pPr>
      <w:r>
        <w:rPr>
          <w:rFonts w:hint="eastAsia"/>
          <w:b/>
          <w:bCs/>
          <w:sz w:val="20"/>
          <w:szCs w:val="20"/>
        </w:rPr>
        <w:t xml:space="preserve">Implicit beam ID indication: </w:t>
      </w:r>
    </w:p>
    <w:p w:rsidR="00567D49" w:rsidRDefault="00A851D6">
      <w:pPr>
        <w:pStyle w:val="af1"/>
        <w:numPr>
          <w:ilvl w:val="255"/>
          <w:numId w:val="0"/>
        </w:numPr>
        <w:adjustRightInd w:val="0"/>
        <w:snapToGrid w:val="0"/>
        <w:spacing w:beforeLines="50" w:before="156" w:afterLines="50" w:after="156"/>
        <w:ind w:left="420"/>
        <w:rPr>
          <w:sz w:val="20"/>
          <w:szCs w:val="20"/>
        </w:rPr>
      </w:pPr>
      <w:r>
        <w:rPr>
          <w:rFonts w:hint="eastAsia"/>
          <w:sz w:val="20"/>
          <w:szCs w:val="20"/>
        </w:rPr>
        <w:t xml:space="preserve">In IoT over NTN scenarios, a key performance </w:t>
      </w:r>
      <w:r>
        <w:rPr>
          <w:sz w:val="20"/>
          <w:szCs w:val="20"/>
        </w:rPr>
        <w:t>criteri</w:t>
      </w:r>
      <w:r>
        <w:rPr>
          <w:rFonts w:hint="eastAsia"/>
          <w:sz w:val="20"/>
          <w:szCs w:val="20"/>
        </w:rPr>
        <w:t xml:space="preserve">on is coverage, and the NB-IoT PBCH </w:t>
      </w:r>
      <w:r>
        <w:rPr>
          <w:rFonts w:hint="eastAsia"/>
          <w:sz w:val="20"/>
          <w:szCs w:val="20"/>
        </w:rPr>
        <w:lastRenderedPageBreak/>
        <w:t xml:space="preserve">repetition can be inherited to combat large path loss. The NB-IoT PBCH is transmitted with a period of 640ms. Each 640ms period contains 8 sub-period of 80ms. In each 80ms sub-period, an identical 1ms PBCH is transmitted in the subframe #0 of each radio frame. Based on high LOS probability and GNSS capability on UE side, extra cover code can be applied to each PBCH repetitions to </w:t>
      </w:r>
      <w:r w:rsidR="004A2207">
        <w:rPr>
          <w:sz w:val="20"/>
          <w:szCs w:val="20"/>
        </w:rPr>
        <w:t>carry</w:t>
      </w:r>
      <w:r>
        <w:rPr>
          <w:rFonts w:hint="eastAsia"/>
          <w:position w:val="-10"/>
          <w:sz w:val="20"/>
          <w:szCs w:val="20"/>
        </w:rPr>
        <w:object w:dxaOrig="580" w:dyaOrig="340">
          <v:shape id="_x0000_i1030" type="#_x0000_t75" style="width:29.25pt;height:17.1pt" o:ole="">
            <v:imagedata r:id="rId19" o:title=""/>
          </v:shape>
          <o:OLEObject Type="Embed" ProgID="Equation.KSEE3" ShapeID="_x0000_i1030" DrawAspect="Content" ObjectID="_1679223506" r:id="rId20"/>
        </w:object>
      </w:r>
      <w:r>
        <w:rPr>
          <w:rFonts w:hint="eastAsia"/>
          <w:sz w:val="20"/>
          <w:szCs w:val="20"/>
        </w:rPr>
        <w:t xml:space="preserve">. Besides, the scrambling code applied on PBCH or PBCH CRC can also be used to </w:t>
      </w:r>
      <w:r w:rsidR="004A2207">
        <w:rPr>
          <w:sz w:val="20"/>
          <w:szCs w:val="20"/>
        </w:rPr>
        <w:t>carry</w:t>
      </w:r>
      <w:r>
        <w:rPr>
          <w:rFonts w:hint="eastAsia"/>
          <w:position w:val="-10"/>
          <w:sz w:val="20"/>
          <w:szCs w:val="20"/>
        </w:rPr>
        <w:object w:dxaOrig="580" w:dyaOrig="340">
          <v:shape id="_x0000_i1031" type="#_x0000_t75" style="width:29.25pt;height:17.1pt" o:ole="">
            <v:imagedata r:id="rId19" o:title=""/>
          </v:shape>
          <o:OLEObject Type="Embed" ProgID="Equation.KSEE3" ShapeID="_x0000_i1031" DrawAspect="Content" ObjectID="_1679223507" r:id="rId21"/>
        </w:object>
      </w:r>
      <w:r>
        <w:rPr>
          <w:rFonts w:hint="eastAsia"/>
          <w:sz w:val="20"/>
          <w:szCs w:val="20"/>
        </w:rPr>
        <w:t xml:space="preserve">, or part of </w:t>
      </w:r>
      <w:r>
        <w:rPr>
          <w:rFonts w:hint="eastAsia"/>
          <w:position w:val="-10"/>
          <w:sz w:val="20"/>
          <w:szCs w:val="20"/>
        </w:rPr>
        <w:object w:dxaOrig="580" w:dyaOrig="340">
          <v:shape id="_x0000_i1032" type="#_x0000_t75" style="width:29.25pt;height:17.1pt" o:ole="">
            <v:imagedata r:id="rId19" o:title=""/>
          </v:shape>
          <o:OLEObject Type="Embed" ProgID="Equation.KSEE3" ShapeID="_x0000_i1032" DrawAspect="Content" ObjectID="_1679223508" r:id="rId22"/>
        </w:object>
      </w:r>
      <w:r>
        <w:rPr>
          <w:rFonts w:hint="eastAsia"/>
          <w:sz w:val="20"/>
          <w:szCs w:val="20"/>
        </w:rPr>
        <w:t xml:space="preserve"> (e.g., </w:t>
      </w:r>
      <w:r>
        <w:rPr>
          <w:rFonts w:hint="eastAsia"/>
          <w:position w:val="-14"/>
          <w:sz w:val="20"/>
          <w:szCs w:val="20"/>
        </w:rPr>
        <w:object w:dxaOrig="740" w:dyaOrig="380">
          <v:shape id="_x0000_i1033" type="#_x0000_t75" style="width:37.05pt;height:19.25pt" o:ole="">
            <v:imagedata r:id="rId12" o:title=""/>
          </v:shape>
          <o:OLEObject Type="Embed" ProgID="Equation.KSEE3" ShapeID="_x0000_i1033" DrawAspect="Content" ObjectID="_1679223509" r:id="rId23"/>
        </w:object>
      </w:r>
      <w:r>
        <w:rPr>
          <w:rFonts w:hint="eastAsia"/>
          <w:sz w:val="20"/>
          <w:szCs w:val="20"/>
        </w:rPr>
        <w:t xml:space="preserve"> and/</w:t>
      </w:r>
      <w:r w:rsidR="004A2207">
        <w:rPr>
          <w:sz w:val="20"/>
          <w:szCs w:val="20"/>
        </w:rPr>
        <w:t>or</w:t>
      </w:r>
      <w:r>
        <w:rPr>
          <w:rFonts w:hint="eastAsia"/>
          <w:position w:val="-14"/>
          <w:sz w:val="20"/>
          <w:szCs w:val="20"/>
        </w:rPr>
        <w:object w:dxaOrig="740" w:dyaOrig="380">
          <v:shape id="_x0000_i1034" type="#_x0000_t75" style="width:37.05pt;height:19.25pt" o:ole="">
            <v:imagedata r:id="rId17" o:title=""/>
          </v:shape>
          <o:OLEObject Type="Embed" ProgID="Equation.KSEE3" ShapeID="_x0000_i1034" DrawAspect="Content" ObjectID="_1679223510" r:id="rId24"/>
        </w:object>
      </w:r>
      <w:r>
        <w:rPr>
          <w:rFonts w:hint="eastAsia"/>
          <w:sz w:val="20"/>
          <w:szCs w:val="20"/>
        </w:rPr>
        <w:t>) in an implicit way. Furthermore, considering resource reuse scheme among beams, a given beam may use a predefined frequency resource only, e.g., anchor/non-anchor carrier for NB-IoT and narrowband for eMTC. The association between beam and resource can be studied in this case.</w:t>
      </w:r>
    </w:p>
    <w:p w:rsidR="00567D49" w:rsidRDefault="00A851D6">
      <w:pPr>
        <w:adjustRightInd w:val="0"/>
        <w:snapToGrid w:val="0"/>
        <w:spacing w:beforeLines="50" w:before="156" w:afterLines="50" w:after="156"/>
        <w:rPr>
          <w:sz w:val="20"/>
          <w:szCs w:val="20"/>
        </w:rPr>
      </w:pPr>
      <w:r>
        <w:rPr>
          <w:rFonts w:hint="eastAsia"/>
          <w:sz w:val="20"/>
          <w:szCs w:val="20"/>
        </w:rPr>
        <w:t xml:space="preserve">In addition, </w:t>
      </w:r>
      <w:r>
        <w:rPr>
          <w:sz w:val="20"/>
          <w:szCs w:val="20"/>
        </w:rPr>
        <w:t xml:space="preserve">in case of transmission with larger repetition, the </w:t>
      </w:r>
      <w:r>
        <w:rPr>
          <w:rFonts w:hint="eastAsia"/>
          <w:sz w:val="20"/>
          <w:szCs w:val="20"/>
        </w:rPr>
        <w:t>beam switching may occur during the transmission time interval</w:t>
      </w:r>
      <w:r>
        <w:rPr>
          <w:sz w:val="20"/>
          <w:szCs w:val="20"/>
        </w:rPr>
        <w:t xml:space="preserve">, which is different </w:t>
      </w:r>
      <w:r>
        <w:rPr>
          <w:rFonts w:hint="eastAsia"/>
          <w:sz w:val="20"/>
          <w:szCs w:val="20"/>
        </w:rPr>
        <w:t xml:space="preserve">from the case in </w:t>
      </w:r>
      <w:r>
        <w:rPr>
          <w:sz w:val="20"/>
          <w:szCs w:val="20"/>
        </w:rPr>
        <w:t xml:space="preserve">NR. </w:t>
      </w:r>
      <w:r>
        <w:rPr>
          <w:rFonts w:hint="eastAsia"/>
          <w:sz w:val="20"/>
          <w:szCs w:val="20"/>
        </w:rPr>
        <w:t>As a result</w:t>
      </w:r>
      <w:r>
        <w:rPr>
          <w:sz w:val="20"/>
          <w:szCs w:val="20"/>
        </w:rPr>
        <w:t>, for IoT</w:t>
      </w:r>
      <w:r>
        <w:rPr>
          <w:rFonts w:hint="eastAsia"/>
          <w:sz w:val="20"/>
          <w:szCs w:val="20"/>
        </w:rPr>
        <w:t xml:space="preserve"> over </w:t>
      </w:r>
      <w:r>
        <w:rPr>
          <w:sz w:val="20"/>
          <w:szCs w:val="20"/>
        </w:rPr>
        <w:t>NTN, corresponding enhancements should also be studied to ensure the performance</w:t>
      </w:r>
      <w:r>
        <w:rPr>
          <w:rFonts w:hint="eastAsia"/>
          <w:sz w:val="20"/>
          <w:szCs w:val="20"/>
        </w:rPr>
        <w:t>.</w:t>
      </w:r>
    </w:p>
    <w:p w:rsidR="00567D49" w:rsidRDefault="00A851D6">
      <w:pPr>
        <w:adjustRightInd w:val="0"/>
        <w:snapToGrid w:val="0"/>
        <w:spacing w:afterLines="50" w:after="156"/>
        <w:rPr>
          <w:bCs/>
          <w:i/>
          <w:kern w:val="0"/>
          <w:sz w:val="20"/>
          <w:szCs w:val="20"/>
        </w:rPr>
      </w:pPr>
      <w:r>
        <w:rPr>
          <w:b/>
          <w:i/>
          <w:kern w:val="0"/>
          <w:sz w:val="20"/>
          <w:szCs w:val="20"/>
          <w:lang w:val="en-GB"/>
        </w:rPr>
        <w:t xml:space="preserve">Proposal </w:t>
      </w:r>
      <w:r>
        <w:rPr>
          <w:rFonts w:hint="eastAsia"/>
          <w:b/>
          <w:i/>
          <w:kern w:val="0"/>
          <w:sz w:val="20"/>
          <w:szCs w:val="20"/>
        </w:rPr>
        <w:t>1</w:t>
      </w:r>
      <w:r>
        <w:rPr>
          <w:b/>
          <w:i/>
          <w:kern w:val="0"/>
          <w:sz w:val="20"/>
          <w:szCs w:val="20"/>
          <w:lang w:val="en-GB"/>
        </w:rPr>
        <w:t xml:space="preserve">: </w:t>
      </w:r>
      <w:r>
        <w:rPr>
          <w:rFonts w:hint="eastAsia"/>
          <w:i/>
          <w:kern w:val="0"/>
          <w:sz w:val="20"/>
          <w:szCs w:val="20"/>
        </w:rPr>
        <w:t>M</w:t>
      </w:r>
      <w:r>
        <w:rPr>
          <w:i/>
          <w:kern w:val="0"/>
          <w:sz w:val="20"/>
          <w:szCs w:val="20"/>
          <w:lang w:val="en-GB"/>
        </w:rPr>
        <w:t>ultiple</w:t>
      </w:r>
      <w:r>
        <w:rPr>
          <w:bCs/>
          <w:i/>
          <w:kern w:val="0"/>
          <w:sz w:val="20"/>
          <w:szCs w:val="20"/>
        </w:rPr>
        <w:t xml:space="preserve"> beams per</w:t>
      </w:r>
      <w:r>
        <w:rPr>
          <w:bCs/>
          <w:i/>
          <w:kern w:val="0"/>
          <w:sz w:val="20"/>
          <w:szCs w:val="20"/>
          <w:lang w:val="en-GB"/>
        </w:rPr>
        <w:t xml:space="preserve"> </w:t>
      </w:r>
      <w:r>
        <w:rPr>
          <w:bCs/>
          <w:i/>
          <w:kern w:val="0"/>
          <w:sz w:val="20"/>
          <w:szCs w:val="20"/>
        </w:rPr>
        <w:t xml:space="preserve">cell should be </w:t>
      </w:r>
      <w:r>
        <w:rPr>
          <w:rFonts w:hint="eastAsia"/>
          <w:bCs/>
          <w:i/>
          <w:kern w:val="0"/>
          <w:sz w:val="20"/>
          <w:szCs w:val="20"/>
        </w:rPr>
        <w:t xml:space="preserve">supported </w:t>
      </w:r>
      <w:r>
        <w:rPr>
          <w:bCs/>
          <w:i/>
          <w:kern w:val="0"/>
          <w:sz w:val="20"/>
          <w:szCs w:val="20"/>
        </w:rPr>
        <w:t>with potential enhancement to enable the beam management for IoT</w:t>
      </w:r>
      <w:r>
        <w:rPr>
          <w:rFonts w:hint="eastAsia"/>
          <w:bCs/>
          <w:i/>
          <w:kern w:val="0"/>
          <w:sz w:val="20"/>
          <w:szCs w:val="20"/>
        </w:rPr>
        <w:t xml:space="preserve"> </w:t>
      </w:r>
      <w:r>
        <w:rPr>
          <w:rFonts w:hint="eastAsia"/>
          <w:i/>
          <w:kern w:val="0"/>
          <w:sz w:val="20"/>
          <w:szCs w:val="20"/>
        </w:rPr>
        <w:t xml:space="preserve">over </w:t>
      </w:r>
      <w:r>
        <w:rPr>
          <w:bCs/>
          <w:i/>
          <w:kern w:val="0"/>
          <w:sz w:val="20"/>
          <w:szCs w:val="20"/>
        </w:rPr>
        <w:t>NTN.</w:t>
      </w:r>
    </w:p>
    <w:p w:rsidR="00567D49" w:rsidRDefault="00A851D6">
      <w:pPr>
        <w:adjustRightInd w:val="0"/>
        <w:snapToGrid w:val="0"/>
        <w:spacing w:afterLines="50" w:after="156"/>
        <w:rPr>
          <w:i/>
          <w:kern w:val="0"/>
          <w:sz w:val="20"/>
          <w:szCs w:val="20"/>
        </w:rPr>
      </w:pPr>
      <w:r>
        <w:rPr>
          <w:b/>
          <w:i/>
          <w:kern w:val="0"/>
          <w:sz w:val="20"/>
          <w:szCs w:val="20"/>
          <w:lang w:val="en-GB"/>
        </w:rPr>
        <w:t xml:space="preserve">Proposal </w:t>
      </w:r>
      <w:r>
        <w:rPr>
          <w:rFonts w:hint="eastAsia"/>
          <w:b/>
          <w:i/>
          <w:kern w:val="0"/>
          <w:sz w:val="20"/>
          <w:szCs w:val="20"/>
        </w:rPr>
        <w:t>2</w:t>
      </w:r>
      <w:r>
        <w:rPr>
          <w:b/>
          <w:i/>
          <w:kern w:val="0"/>
          <w:sz w:val="20"/>
          <w:szCs w:val="20"/>
          <w:lang w:val="en-GB"/>
        </w:rPr>
        <w:t xml:space="preserve">: </w:t>
      </w:r>
      <w:r>
        <w:rPr>
          <w:rFonts w:hint="eastAsia"/>
          <w:i/>
          <w:kern w:val="0"/>
          <w:sz w:val="20"/>
          <w:szCs w:val="20"/>
          <w:lang w:val="en-GB"/>
        </w:rPr>
        <w:t>Mechanism</w:t>
      </w:r>
      <w:r>
        <w:rPr>
          <w:rFonts w:hint="eastAsia"/>
          <w:i/>
          <w:kern w:val="0"/>
          <w:sz w:val="20"/>
          <w:szCs w:val="20"/>
        </w:rPr>
        <w:t>s</w:t>
      </w:r>
      <w:r>
        <w:rPr>
          <w:rFonts w:hint="eastAsia"/>
          <w:i/>
          <w:kern w:val="0"/>
          <w:sz w:val="20"/>
          <w:szCs w:val="20"/>
          <w:lang w:val="en-GB"/>
        </w:rPr>
        <w:t xml:space="preserve"> to enable the </w:t>
      </w:r>
      <w:r>
        <w:rPr>
          <w:i/>
          <w:kern w:val="0"/>
          <w:sz w:val="20"/>
          <w:szCs w:val="20"/>
        </w:rPr>
        <w:t>b</w:t>
      </w:r>
      <w:r>
        <w:rPr>
          <w:rFonts w:hint="eastAsia"/>
          <w:i/>
          <w:kern w:val="0"/>
          <w:sz w:val="20"/>
          <w:szCs w:val="20"/>
        </w:rPr>
        <w:t xml:space="preserve">eam identification in IoT over NTN should be </w:t>
      </w:r>
      <w:r>
        <w:rPr>
          <w:i/>
          <w:kern w:val="0"/>
          <w:sz w:val="20"/>
          <w:szCs w:val="20"/>
        </w:rPr>
        <w:t xml:space="preserve">considered via </w:t>
      </w:r>
      <w:r>
        <w:rPr>
          <w:rFonts w:hint="eastAsia"/>
          <w:i/>
          <w:kern w:val="0"/>
          <w:sz w:val="20"/>
          <w:szCs w:val="20"/>
        </w:rPr>
        <w:t>both explicit and implicit ways.</w:t>
      </w:r>
    </w:p>
    <w:p w:rsidR="00567D49" w:rsidRDefault="00A851D6">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3</w:t>
      </w:r>
      <w:r>
        <w:rPr>
          <w:b/>
          <w:i/>
          <w:kern w:val="0"/>
          <w:sz w:val="20"/>
          <w:szCs w:val="20"/>
          <w:lang w:val="en-GB"/>
        </w:rPr>
        <w:t xml:space="preserve">: </w:t>
      </w:r>
      <w:r>
        <w:rPr>
          <w:rFonts w:hint="eastAsia"/>
          <w:i/>
          <w:kern w:val="0"/>
          <w:sz w:val="20"/>
          <w:szCs w:val="20"/>
        </w:rPr>
        <w:t xml:space="preserve">In IoT over NTN, mapping between beam and frequency resource should be studied. </w:t>
      </w:r>
    </w:p>
    <w:p w:rsidR="00567D49" w:rsidRDefault="00A851D6">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4</w:t>
      </w:r>
      <w:r>
        <w:rPr>
          <w:b/>
          <w:i/>
          <w:kern w:val="0"/>
          <w:sz w:val="20"/>
          <w:szCs w:val="20"/>
          <w:lang w:val="en-GB"/>
        </w:rPr>
        <w:t xml:space="preserve">: </w:t>
      </w:r>
      <w:r>
        <w:rPr>
          <w:rFonts w:hint="eastAsia"/>
          <w:i/>
          <w:kern w:val="0"/>
          <w:sz w:val="20"/>
          <w:szCs w:val="20"/>
        </w:rPr>
        <w:t xml:space="preserve">In IoT over NTN, enhanced repeated transmission to tackle the interrupt due to beam switching should be studied. </w:t>
      </w:r>
    </w:p>
    <w:p w:rsidR="00567D49" w:rsidRDefault="00A851D6">
      <w:pPr>
        <w:pStyle w:val="1"/>
        <w:keepNext w:val="0"/>
        <w:keepLines w:val="0"/>
        <w:widowControl w:val="0"/>
        <w:numPr>
          <w:ilvl w:val="1"/>
          <w:numId w:val="3"/>
        </w:numPr>
        <w:pBdr>
          <w:top w:val="none" w:sz="0" w:space="0" w:color="auto"/>
        </w:pBdr>
        <w:tabs>
          <w:tab w:val="left" w:pos="432"/>
          <w:tab w:val="left" w:pos="4827"/>
        </w:tabs>
        <w:overflowPunct/>
        <w:snapToGrid w:val="0"/>
        <w:spacing w:beforeLines="50" w:before="156" w:afterLines="50" w:after="156"/>
        <w:ind w:left="851" w:hanging="851"/>
        <w:textAlignment w:val="auto"/>
        <w:rPr>
          <w:rFonts w:eastAsia="黑体"/>
          <w:b/>
          <w:bCs/>
          <w:sz w:val="24"/>
          <w:szCs w:val="24"/>
          <w:lang w:val="en-US"/>
        </w:rPr>
      </w:pPr>
      <w:r>
        <w:rPr>
          <w:rFonts w:eastAsia="黑体"/>
          <w:b/>
          <w:bCs/>
          <w:sz w:val="24"/>
          <w:szCs w:val="24"/>
          <w:lang w:val="en-US"/>
        </w:rPr>
        <w:t>Polarization indication</w:t>
      </w:r>
    </w:p>
    <w:p w:rsidR="00567D49" w:rsidRDefault="00A851D6">
      <w:pPr>
        <w:rPr>
          <w:sz w:val="20"/>
          <w:szCs w:val="20"/>
        </w:rPr>
      </w:pPr>
      <w:r>
        <w:rPr>
          <w:sz w:val="20"/>
          <w:szCs w:val="20"/>
        </w:rPr>
        <w:t>In the NR-NTN discussion, the intention for enabling the polarization indication is to fix the potential polarization loss for link budget due to the mismatch among UE and satellite configuration, which is beneficial for the system with terminal supporting different polarization</w:t>
      </w:r>
      <w:r>
        <w:rPr>
          <w:rFonts w:hint="eastAsia"/>
          <w:sz w:val="20"/>
          <w:szCs w:val="20"/>
        </w:rPr>
        <w:t xml:space="preserve">. </w:t>
      </w:r>
      <w:r>
        <w:rPr>
          <w:sz w:val="20"/>
          <w:szCs w:val="20"/>
        </w:rPr>
        <w:t>In IoT-NTN, since the circular the polarization can also be optional supported by the terminal based on the agreement in [RAN1#103e], the</w:t>
      </w:r>
      <w:r>
        <w:rPr>
          <w:rFonts w:hint="eastAsia"/>
          <w:sz w:val="20"/>
          <w:szCs w:val="20"/>
        </w:rPr>
        <w:t xml:space="preserve"> indication of polarization</w:t>
      </w:r>
      <w:r>
        <w:rPr>
          <w:sz w:val="20"/>
          <w:szCs w:val="20"/>
        </w:rPr>
        <w:t xml:space="preserve"> can also be considered with following signalling:</w:t>
      </w:r>
    </w:p>
    <w:p w:rsidR="00567D49" w:rsidRDefault="00A851D6">
      <w:pPr>
        <w:pStyle w:val="af1"/>
        <w:numPr>
          <w:ilvl w:val="0"/>
          <w:numId w:val="5"/>
        </w:numPr>
        <w:ind w:firstLineChars="0"/>
        <w:rPr>
          <w:sz w:val="20"/>
          <w:szCs w:val="20"/>
        </w:rPr>
      </w:pPr>
      <w:r>
        <w:rPr>
          <w:rFonts w:hint="eastAsia"/>
          <w:b/>
          <w:bCs/>
          <w:sz w:val="20"/>
          <w:szCs w:val="20"/>
        </w:rPr>
        <w:t>SIB based indication</w:t>
      </w:r>
    </w:p>
    <w:p w:rsidR="00567D49" w:rsidRDefault="00A851D6">
      <w:pPr>
        <w:ind w:left="420"/>
        <w:rPr>
          <w:bCs/>
          <w:sz w:val="20"/>
          <w:szCs w:val="20"/>
        </w:rPr>
      </w:pPr>
      <w:r>
        <w:rPr>
          <w:rFonts w:hint="eastAsia"/>
          <w:sz w:val="20"/>
          <w:szCs w:val="20"/>
        </w:rPr>
        <w:t>The logical channel carried by SIB1 is BCCH, which is applicable for cell level indication. An NTN specific SIBx can be used to carry all other system information related to NTN scenarios. A UE checks the network type to see whether it is necessary to monitor the NTN SIBx. The DL beam level polarization indication can be a 1-bit field with options of {</w:t>
      </w:r>
      <w:r>
        <w:rPr>
          <w:rFonts w:hint="eastAsia"/>
          <w:bCs/>
          <w:sz w:val="20"/>
          <w:szCs w:val="20"/>
        </w:rPr>
        <w:t xml:space="preserve">left hand circular polarization (LHCP), right hand circular polarization (RHCP)}. </w:t>
      </w:r>
    </w:p>
    <w:p w:rsidR="00567D49" w:rsidRDefault="00A851D6">
      <w:pPr>
        <w:pStyle w:val="af1"/>
        <w:numPr>
          <w:ilvl w:val="0"/>
          <w:numId w:val="5"/>
        </w:numPr>
        <w:ind w:firstLineChars="0"/>
        <w:rPr>
          <w:b/>
          <w:bCs/>
          <w:sz w:val="20"/>
          <w:szCs w:val="20"/>
        </w:rPr>
      </w:pPr>
      <w:r>
        <w:rPr>
          <w:rFonts w:hint="eastAsia"/>
          <w:b/>
          <w:bCs/>
          <w:sz w:val="20"/>
          <w:szCs w:val="20"/>
        </w:rPr>
        <w:t>RRC based indication</w:t>
      </w:r>
    </w:p>
    <w:p w:rsidR="00567D49" w:rsidRDefault="00A851D6">
      <w:pPr>
        <w:pStyle w:val="af1"/>
        <w:ind w:left="420" w:firstLineChars="0" w:firstLine="0"/>
        <w:rPr>
          <w:strike/>
          <w:sz w:val="20"/>
          <w:szCs w:val="20"/>
        </w:rPr>
      </w:pPr>
      <w:r>
        <w:rPr>
          <w:sz w:val="20"/>
          <w:szCs w:val="20"/>
        </w:rPr>
        <w:t>In this way, t</w:t>
      </w:r>
      <w:r>
        <w:rPr>
          <w:rFonts w:hint="eastAsia"/>
          <w:sz w:val="20"/>
          <w:szCs w:val="20"/>
        </w:rPr>
        <w:t xml:space="preserve">he polarization indication can be included in </w:t>
      </w:r>
      <w:r>
        <w:rPr>
          <w:sz w:val="20"/>
          <w:szCs w:val="20"/>
        </w:rPr>
        <w:t>the configuration in UE specific way for channels, e.g., NPDSCH/NPDCCH for NB-IoT</w:t>
      </w:r>
      <w:r>
        <w:rPr>
          <w:rFonts w:hint="eastAsia"/>
          <w:sz w:val="20"/>
          <w:szCs w:val="20"/>
        </w:rPr>
        <w:t xml:space="preserve">. The DL polarization </w:t>
      </w:r>
      <w:r>
        <w:rPr>
          <w:sz w:val="20"/>
          <w:szCs w:val="20"/>
        </w:rPr>
        <w:t xml:space="preserve">for each </w:t>
      </w:r>
      <w:r>
        <w:rPr>
          <w:rFonts w:hint="eastAsia"/>
          <w:sz w:val="20"/>
          <w:szCs w:val="20"/>
        </w:rPr>
        <w:t>indication can be a 1-bit field with options of {left hand circular polarization (LHCP), right hand circular polarization (RHCP)}.</w:t>
      </w:r>
    </w:p>
    <w:p w:rsidR="00567D49" w:rsidRDefault="00A851D6">
      <w:pPr>
        <w:adjustRightInd w:val="0"/>
        <w:snapToGrid w:val="0"/>
        <w:spacing w:beforeLines="50" w:before="156" w:afterLines="50" w:after="156"/>
        <w:rPr>
          <w:i/>
          <w:kern w:val="0"/>
          <w:sz w:val="20"/>
          <w:szCs w:val="20"/>
        </w:rPr>
      </w:pPr>
      <w:r>
        <w:rPr>
          <w:b/>
          <w:i/>
          <w:kern w:val="0"/>
          <w:sz w:val="20"/>
          <w:szCs w:val="20"/>
          <w:lang w:val="en-GB"/>
        </w:rPr>
        <w:t xml:space="preserve">Proposal </w:t>
      </w:r>
      <w:r>
        <w:rPr>
          <w:b/>
          <w:i/>
          <w:kern w:val="0"/>
          <w:sz w:val="20"/>
          <w:szCs w:val="20"/>
        </w:rPr>
        <w:t>5</w:t>
      </w:r>
      <w:r>
        <w:rPr>
          <w:b/>
          <w:i/>
          <w:kern w:val="0"/>
          <w:sz w:val="20"/>
          <w:szCs w:val="20"/>
          <w:lang w:val="en-GB"/>
        </w:rPr>
        <w:t xml:space="preserve">: </w:t>
      </w:r>
      <w:r>
        <w:rPr>
          <w:rFonts w:hint="eastAsia"/>
          <w:bCs/>
          <w:i/>
          <w:kern w:val="0"/>
          <w:sz w:val="20"/>
          <w:szCs w:val="20"/>
        </w:rPr>
        <w:t>DL p</w:t>
      </w:r>
      <w:r>
        <w:rPr>
          <w:i/>
          <w:kern w:val="0"/>
          <w:sz w:val="20"/>
          <w:szCs w:val="20"/>
        </w:rPr>
        <w:t xml:space="preserve">olarization </w:t>
      </w:r>
      <w:r>
        <w:rPr>
          <w:rFonts w:hint="eastAsia"/>
          <w:i/>
          <w:kern w:val="0"/>
          <w:sz w:val="20"/>
          <w:szCs w:val="20"/>
        </w:rPr>
        <w:t>indicated by SIB or RRC can be considered.</w:t>
      </w:r>
    </w:p>
    <w:p w:rsidR="00567D49" w:rsidRDefault="00A851D6">
      <w:pPr>
        <w:pStyle w:val="1"/>
        <w:keepNext w:val="0"/>
        <w:keepLines w:val="0"/>
        <w:widowControl w:val="0"/>
        <w:numPr>
          <w:ilvl w:val="1"/>
          <w:numId w:val="3"/>
        </w:numPr>
        <w:pBdr>
          <w:top w:val="none" w:sz="0" w:space="0" w:color="auto"/>
        </w:pBdr>
        <w:tabs>
          <w:tab w:val="left" w:pos="432"/>
          <w:tab w:val="left" w:pos="4827"/>
        </w:tabs>
        <w:overflowPunct/>
        <w:snapToGrid w:val="0"/>
        <w:spacing w:beforeLines="50" w:before="156" w:afterLines="50" w:after="156"/>
        <w:ind w:left="851" w:hanging="851"/>
        <w:textAlignment w:val="auto"/>
        <w:rPr>
          <w:rFonts w:eastAsia="黑体"/>
          <w:b/>
          <w:bCs/>
          <w:sz w:val="24"/>
          <w:szCs w:val="24"/>
          <w:lang w:val="en-US"/>
        </w:rPr>
      </w:pPr>
      <w:r>
        <w:rPr>
          <w:rFonts w:eastAsia="黑体"/>
          <w:b/>
          <w:bCs/>
          <w:sz w:val="24"/>
          <w:szCs w:val="24"/>
          <w:lang w:val="en-US"/>
        </w:rPr>
        <w:t>Power consumption</w:t>
      </w:r>
    </w:p>
    <w:p w:rsidR="00567D49" w:rsidRDefault="00A851D6">
      <w:pPr>
        <w:adjustRightInd w:val="0"/>
        <w:snapToGrid w:val="0"/>
        <w:spacing w:beforeLines="50" w:before="156" w:afterLines="50" w:after="156"/>
        <w:rPr>
          <w:strike/>
          <w:sz w:val="20"/>
          <w:szCs w:val="20"/>
        </w:rPr>
      </w:pPr>
      <w:r>
        <w:rPr>
          <w:rFonts w:hint="eastAsia"/>
          <w:sz w:val="20"/>
          <w:szCs w:val="20"/>
        </w:rPr>
        <w:t xml:space="preserve">In IoT over NTN, the UE needs to obtain satellite position from the </w:t>
      </w:r>
      <w:r>
        <w:rPr>
          <w:sz w:val="20"/>
          <w:szCs w:val="20"/>
        </w:rPr>
        <w:t>system information</w:t>
      </w:r>
      <w:r>
        <w:rPr>
          <w:rFonts w:hint="eastAsia"/>
          <w:sz w:val="20"/>
          <w:szCs w:val="20"/>
        </w:rPr>
        <w:t xml:space="preserve"> and to estimate its own position based on GNSS signal. With known position of itself and the satellite, the UE is able to pre-compensate the time offset and the frequency offset. These procedures increase the power consumption of the IoT devices, which will largely reduce their battery life and needs to be further investigated. </w:t>
      </w:r>
    </w:p>
    <w:p w:rsidR="00567D49" w:rsidRDefault="00A851D6">
      <w:pPr>
        <w:rPr>
          <w:sz w:val="20"/>
          <w:szCs w:val="20"/>
        </w:rPr>
      </w:pPr>
      <w:r>
        <w:rPr>
          <w:iCs/>
          <w:kern w:val="0"/>
          <w:sz w:val="20"/>
          <w:szCs w:val="20"/>
        </w:rPr>
        <w:t>Moreover, f</w:t>
      </w:r>
      <w:r>
        <w:rPr>
          <w:rFonts w:hint="eastAsia"/>
          <w:iCs/>
          <w:kern w:val="0"/>
          <w:sz w:val="20"/>
          <w:szCs w:val="20"/>
        </w:rPr>
        <w:t xml:space="preserve">or a fixed UE, the wireless signal from non-terrestrial network may be discontinuous and fluctuate in strength, as shown in </w:t>
      </w:r>
      <w:r>
        <w:rPr>
          <w:rFonts w:hint="eastAsia"/>
          <w:iCs/>
          <w:kern w:val="0"/>
          <w:sz w:val="20"/>
          <w:szCs w:val="20"/>
        </w:rPr>
        <w:fldChar w:fldCharType="begin"/>
      </w:r>
      <w:r>
        <w:rPr>
          <w:rFonts w:hint="eastAsia"/>
          <w:iCs/>
          <w:kern w:val="0"/>
          <w:sz w:val="20"/>
          <w:szCs w:val="20"/>
        </w:rPr>
        <w:instrText xml:space="preserve"> REF _Ref15609 \h </w:instrText>
      </w:r>
      <w:r>
        <w:rPr>
          <w:rFonts w:hint="eastAsia"/>
          <w:iCs/>
          <w:kern w:val="0"/>
          <w:sz w:val="20"/>
          <w:szCs w:val="20"/>
        </w:rPr>
      </w:r>
      <w:r>
        <w:rPr>
          <w:rFonts w:hint="eastAsia"/>
          <w:iCs/>
          <w:kern w:val="0"/>
          <w:sz w:val="20"/>
          <w:szCs w:val="20"/>
        </w:rPr>
        <w:fldChar w:fldCharType="separate"/>
      </w:r>
      <w:r>
        <w:t>Figure 2</w:t>
      </w:r>
      <w:r>
        <w:rPr>
          <w:rFonts w:hint="eastAsia"/>
          <w:iCs/>
          <w:kern w:val="0"/>
          <w:sz w:val="20"/>
          <w:szCs w:val="20"/>
        </w:rPr>
        <w:fldChar w:fldCharType="end"/>
      </w:r>
      <w:r>
        <w:rPr>
          <w:rFonts w:hint="eastAsia"/>
          <w:iCs/>
          <w:kern w:val="0"/>
          <w:sz w:val="20"/>
          <w:szCs w:val="20"/>
        </w:rPr>
        <w:t xml:space="preserve">. For the sake of power saving, </w:t>
      </w:r>
      <w:r>
        <w:rPr>
          <w:iCs/>
          <w:kern w:val="0"/>
          <w:sz w:val="20"/>
          <w:szCs w:val="20"/>
        </w:rPr>
        <w:t xml:space="preserve">optimization on the </w:t>
      </w:r>
      <w:r>
        <w:rPr>
          <w:iCs/>
          <w:kern w:val="0"/>
          <w:sz w:val="20"/>
          <w:szCs w:val="20"/>
        </w:rPr>
        <w:lastRenderedPageBreak/>
        <w:t xml:space="preserve">reception/scheduling for the UE can be considered, e.g., </w:t>
      </w:r>
      <w:r>
        <w:rPr>
          <w:rFonts w:hint="eastAsia"/>
          <w:iCs/>
          <w:kern w:val="0"/>
          <w:sz w:val="20"/>
          <w:szCs w:val="20"/>
        </w:rPr>
        <w:t xml:space="preserve">the UE </w:t>
      </w:r>
      <w:r>
        <w:rPr>
          <w:iCs/>
          <w:kern w:val="0"/>
          <w:sz w:val="20"/>
          <w:szCs w:val="20"/>
        </w:rPr>
        <w:t>will be in “off” mode</w:t>
      </w:r>
      <w:r>
        <w:rPr>
          <w:rFonts w:hint="eastAsia"/>
          <w:iCs/>
          <w:kern w:val="0"/>
          <w:sz w:val="20"/>
          <w:szCs w:val="20"/>
        </w:rPr>
        <w:t xml:space="preserve"> </w:t>
      </w:r>
      <w:r>
        <w:rPr>
          <w:iCs/>
          <w:kern w:val="0"/>
          <w:sz w:val="20"/>
          <w:szCs w:val="20"/>
        </w:rPr>
        <w:t>if out of coverage or with week signal strength</w:t>
      </w:r>
      <w:r>
        <w:rPr>
          <w:rFonts w:hint="eastAsia"/>
          <w:iCs/>
          <w:kern w:val="0"/>
          <w:sz w:val="20"/>
          <w:szCs w:val="20"/>
        </w:rPr>
        <w:t>.</w:t>
      </w:r>
      <w:r>
        <w:rPr>
          <w:iCs/>
          <w:kern w:val="0"/>
          <w:sz w:val="20"/>
          <w:szCs w:val="20"/>
        </w:rPr>
        <w:t xml:space="preserve"> </w:t>
      </w:r>
    </w:p>
    <w:p w:rsidR="00567D49" w:rsidRDefault="00567D49">
      <w:pPr>
        <w:adjustRightInd w:val="0"/>
        <w:snapToGrid w:val="0"/>
        <w:spacing w:afterLines="50" w:after="156"/>
        <w:rPr>
          <w:iCs/>
          <w:kern w:val="0"/>
          <w:sz w:val="20"/>
          <w:szCs w:val="20"/>
        </w:rPr>
      </w:pPr>
    </w:p>
    <w:p w:rsidR="00567D49" w:rsidRDefault="00A851D6">
      <w:pPr>
        <w:pStyle w:val="ListParagraph1"/>
        <w:ind w:left="0"/>
        <w:jc w:val="center"/>
      </w:pPr>
      <w:r>
        <w:rPr>
          <w:noProof/>
        </w:rPr>
        <w:drawing>
          <wp:inline distT="0" distB="0" distL="114300" distR="114300">
            <wp:extent cx="3213735" cy="1443355"/>
            <wp:effectExtent l="0" t="0" r="5715" b="4445"/>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pic:cNvPicPr>
                  </pic:nvPicPr>
                  <pic:blipFill>
                    <a:blip r:embed="rId25"/>
                    <a:stretch>
                      <a:fillRect/>
                    </a:stretch>
                  </pic:blipFill>
                  <pic:spPr>
                    <a:xfrm>
                      <a:off x="0" y="0"/>
                      <a:ext cx="3213735" cy="1443355"/>
                    </a:xfrm>
                    <a:prstGeom prst="rect">
                      <a:avLst/>
                    </a:prstGeom>
                    <a:noFill/>
                    <a:ln>
                      <a:noFill/>
                    </a:ln>
                  </pic:spPr>
                </pic:pic>
              </a:graphicData>
            </a:graphic>
          </wp:inline>
        </w:drawing>
      </w:r>
    </w:p>
    <w:p w:rsidR="00567D49" w:rsidRDefault="00A851D6">
      <w:pPr>
        <w:pStyle w:val="a3"/>
        <w:jc w:val="center"/>
        <w:rPr>
          <w:rFonts w:ascii="Times New Roman" w:hAnsi="Times New Roman" w:cs="Times New Roman"/>
        </w:rPr>
      </w:pPr>
      <w:bookmarkStart w:id="6" w:name="_Ref15609"/>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bookmarkEnd w:id="6"/>
      <w:r>
        <w:rPr>
          <w:rFonts w:ascii="Times New Roman" w:hAnsi="Times New Roman" w:cs="Times New Roman" w:hint="eastAsia"/>
        </w:rPr>
        <w:t>. An example of wireless signal strength in non-terrestrial network</w:t>
      </w:r>
    </w:p>
    <w:p w:rsidR="00567D49" w:rsidRDefault="00567D49">
      <w:pPr>
        <w:rPr>
          <w:sz w:val="20"/>
          <w:szCs w:val="20"/>
        </w:rPr>
      </w:pPr>
    </w:p>
    <w:p w:rsidR="00567D49" w:rsidRDefault="00A851D6">
      <w:pPr>
        <w:rPr>
          <w:sz w:val="20"/>
          <w:szCs w:val="20"/>
        </w:rPr>
      </w:pPr>
      <w:r>
        <w:rPr>
          <w:rFonts w:hint="eastAsia"/>
          <w:sz w:val="20"/>
          <w:szCs w:val="20"/>
        </w:rPr>
        <w:t>In legacy NB-IoT, the sleep of a UE</w:t>
      </w:r>
      <w:r>
        <w:rPr>
          <w:sz w:val="20"/>
          <w:szCs w:val="20"/>
        </w:rPr>
        <w:t xml:space="preserve"> is </w:t>
      </w:r>
      <w:r>
        <w:rPr>
          <w:rFonts w:hint="eastAsia"/>
          <w:sz w:val="20"/>
          <w:szCs w:val="20"/>
        </w:rPr>
        <w:t xml:space="preserve">determined by the PSM and eDRX configuration. For each UE, the parameters c-eDRX cycle, i-eDRX cycle and TAU timer will be configured by the BS. The UE will periodically wake up to receive possible PDCCH or paging signal, and enter sleep or standby state in the rest time of each cycle, as shown in </w:t>
      </w:r>
      <w:r>
        <w:rPr>
          <w:rFonts w:hint="eastAsia"/>
          <w:sz w:val="20"/>
          <w:szCs w:val="20"/>
        </w:rPr>
        <w:fldChar w:fldCharType="begin"/>
      </w:r>
      <w:r>
        <w:rPr>
          <w:rFonts w:hint="eastAsia"/>
          <w:sz w:val="20"/>
          <w:szCs w:val="20"/>
        </w:rPr>
        <w:instrText xml:space="preserve"> REF _Ref31603 \h </w:instrText>
      </w:r>
      <w:r>
        <w:rPr>
          <w:rFonts w:hint="eastAsia"/>
          <w:sz w:val="20"/>
          <w:szCs w:val="20"/>
        </w:rPr>
      </w:r>
      <w:r>
        <w:rPr>
          <w:rFonts w:hint="eastAsia"/>
          <w:sz w:val="20"/>
          <w:szCs w:val="20"/>
        </w:rPr>
        <w:fldChar w:fldCharType="separate"/>
      </w:r>
      <w:r>
        <w:t>Figure 3</w:t>
      </w:r>
      <w:r>
        <w:rPr>
          <w:rFonts w:hint="eastAsia"/>
          <w:sz w:val="20"/>
          <w:szCs w:val="20"/>
        </w:rPr>
        <w:fldChar w:fldCharType="end"/>
      </w:r>
      <w:r>
        <w:rPr>
          <w:rFonts w:hint="eastAsia"/>
          <w:sz w:val="20"/>
          <w:szCs w:val="20"/>
        </w:rPr>
        <w:t>. However, for each UE the service window of satellites won</w:t>
      </w:r>
      <w:r>
        <w:rPr>
          <w:sz w:val="20"/>
          <w:szCs w:val="20"/>
        </w:rPr>
        <w:t>’</w:t>
      </w:r>
      <w:r>
        <w:rPr>
          <w:rFonts w:hint="eastAsia"/>
          <w:sz w:val="20"/>
          <w:szCs w:val="20"/>
        </w:rPr>
        <w:t>t appear periodically, especially for the simulation parameter set-4 which has discontinuous coverage. It is impossible to configure the UE to wake up in service windows of satellites by legacy eDRX and PSM techniques. An enhancement on the eDRX and PSM techniques for aperiodic sleep is needed to achieve better power saving in NTN.</w:t>
      </w:r>
    </w:p>
    <w:p w:rsidR="00567D49" w:rsidRDefault="00567D49">
      <w:pPr>
        <w:rPr>
          <w:sz w:val="20"/>
          <w:szCs w:val="20"/>
        </w:rPr>
      </w:pPr>
    </w:p>
    <w:p w:rsidR="00567D49" w:rsidRDefault="00A851D6">
      <w:pPr>
        <w:jc w:val="center"/>
        <w:rPr>
          <w:sz w:val="22"/>
        </w:rPr>
      </w:pPr>
      <w:r>
        <w:rPr>
          <w:noProof/>
          <w:sz w:val="22"/>
        </w:rPr>
        <w:drawing>
          <wp:inline distT="0" distB="0" distL="114300" distR="114300">
            <wp:extent cx="3310890" cy="1928495"/>
            <wp:effectExtent l="0" t="0" r="3810" b="14605"/>
            <wp:docPr id="4" name="图片 4" descr="state trans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tate transition"/>
                    <pic:cNvPicPr>
                      <a:picLocks noChangeAspect="1"/>
                    </pic:cNvPicPr>
                  </pic:nvPicPr>
                  <pic:blipFill>
                    <a:blip r:embed="rId26"/>
                    <a:stretch>
                      <a:fillRect/>
                    </a:stretch>
                  </pic:blipFill>
                  <pic:spPr>
                    <a:xfrm>
                      <a:off x="0" y="0"/>
                      <a:ext cx="3310890" cy="1928495"/>
                    </a:xfrm>
                    <a:prstGeom prst="rect">
                      <a:avLst/>
                    </a:prstGeom>
                  </pic:spPr>
                </pic:pic>
              </a:graphicData>
            </a:graphic>
          </wp:inline>
        </w:drawing>
      </w:r>
    </w:p>
    <w:p w:rsidR="00567D49" w:rsidRDefault="00A851D6">
      <w:pPr>
        <w:pStyle w:val="a3"/>
        <w:jc w:val="center"/>
        <w:rPr>
          <w:sz w:val="22"/>
        </w:rPr>
      </w:pPr>
      <w:bookmarkStart w:id="7" w:name="_Ref31603"/>
      <w:r>
        <w:t xml:space="preserve">Figure </w:t>
      </w:r>
      <w:fldSimple w:instr=" SEQ Figure \* ARABIC ">
        <w:r>
          <w:t>3</w:t>
        </w:r>
      </w:fldSimple>
      <w:bookmarkEnd w:id="7"/>
      <w:r>
        <w:rPr>
          <w:rFonts w:hint="eastAsia"/>
        </w:rPr>
        <w:t xml:space="preserve"> The state transition of an NB-IoT UE</w:t>
      </w:r>
    </w:p>
    <w:p w:rsidR="00567D49" w:rsidRDefault="00567D49">
      <w:pPr>
        <w:rPr>
          <w:sz w:val="20"/>
          <w:szCs w:val="20"/>
        </w:rPr>
      </w:pPr>
    </w:p>
    <w:p w:rsidR="00567D49" w:rsidRDefault="00A851D6">
      <w:pPr>
        <w:rPr>
          <w:i/>
          <w:kern w:val="0"/>
          <w:sz w:val="20"/>
          <w:szCs w:val="20"/>
        </w:rPr>
      </w:pPr>
      <w:r>
        <w:rPr>
          <w:b/>
          <w:i/>
          <w:kern w:val="0"/>
          <w:sz w:val="20"/>
          <w:szCs w:val="20"/>
          <w:lang w:val="en-GB"/>
        </w:rPr>
        <w:t xml:space="preserve">Proposal </w:t>
      </w:r>
      <w:r>
        <w:rPr>
          <w:rFonts w:hint="eastAsia"/>
          <w:b/>
          <w:i/>
          <w:kern w:val="0"/>
          <w:sz w:val="20"/>
          <w:szCs w:val="20"/>
        </w:rPr>
        <w:t>6</w:t>
      </w:r>
      <w:r>
        <w:rPr>
          <w:b/>
          <w:i/>
          <w:kern w:val="0"/>
          <w:sz w:val="20"/>
          <w:szCs w:val="20"/>
          <w:lang w:val="en-GB"/>
        </w:rPr>
        <w:t xml:space="preserve">: </w:t>
      </w:r>
      <w:r>
        <w:rPr>
          <w:rFonts w:hint="eastAsia"/>
          <w:i/>
          <w:kern w:val="0"/>
          <w:sz w:val="20"/>
          <w:szCs w:val="20"/>
        </w:rPr>
        <w:t>Enhance the legacy eDRX and PSM techniques to support aperiodic sleep.</w:t>
      </w:r>
    </w:p>
    <w:p w:rsidR="00567D49" w:rsidRDefault="00A851D6">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567D49" w:rsidRDefault="00A851D6">
      <w:pPr>
        <w:adjustRightInd w:val="0"/>
        <w:snapToGrid w:val="0"/>
        <w:rPr>
          <w:sz w:val="20"/>
          <w:szCs w:val="20"/>
          <w:lang w:val="en-GB"/>
        </w:rPr>
      </w:pPr>
      <w:r>
        <w:rPr>
          <w:rFonts w:hint="eastAsia"/>
          <w:sz w:val="20"/>
          <w:szCs w:val="20"/>
          <w:lang w:val="en-GB"/>
        </w:rPr>
        <w:t>I</w:t>
      </w:r>
      <w:r>
        <w:rPr>
          <w:sz w:val="20"/>
          <w:szCs w:val="20"/>
          <w:lang w:val="en-GB"/>
        </w:rPr>
        <w:t xml:space="preserve">n this contribution, </w:t>
      </w:r>
      <w:r>
        <w:rPr>
          <w:rFonts w:hint="eastAsia"/>
          <w:sz w:val="20"/>
          <w:szCs w:val="20"/>
        </w:rPr>
        <w:t>technical issues and possible solutions to support IoT over NTN</w:t>
      </w:r>
      <w:r>
        <w:rPr>
          <w:sz w:val="20"/>
          <w:szCs w:val="20"/>
          <w:lang w:val="en-GB"/>
        </w:rPr>
        <w:t xml:space="preserve"> is conducted with following proposals: </w:t>
      </w:r>
    </w:p>
    <w:p w:rsidR="00567D49" w:rsidRDefault="00A851D6" w:rsidP="005E224A">
      <w:pPr>
        <w:adjustRightInd w:val="0"/>
        <w:snapToGrid w:val="0"/>
        <w:spacing w:beforeLines="50" w:before="156" w:afterLines="50" w:after="156"/>
        <w:rPr>
          <w:bCs/>
          <w:i/>
          <w:kern w:val="0"/>
          <w:sz w:val="20"/>
          <w:szCs w:val="20"/>
        </w:rPr>
      </w:pPr>
      <w:bookmarkStart w:id="8" w:name="_GoBack"/>
      <w:r>
        <w:rPr>
          <w:b/>
          <w:i/>
          <w:kern w:val="0"/>
          <w:sz w:val="20"/>
          <w:szCs w:val="20"/>
          <w:lang w:val="en-GB"/>
        </w:rPr>
        <w:t xml:space="preserve">Proposal </w:t>
      </w:r>
      <w:r>
        <w:rPr>
          <w:rFonts w:hint="eastAsia"/>
          <w:b/>
          <w:i/>
          <w:kern w:val="0"/>
          <w:sz w:val="20"/>
          <w:szCs w:val="20"/>
        </w:rPr>
        <w:t>1</w:t>
      </w:r>
      <w:r>
        <w:rPr>
          <w:b/>
          <w:i/>
          <w:kern w:val="0"/>
          <w:sz w:val="20"/>
          <w:szCs w:val="20"/>
          <w:lang w:val="en-GB"/>
        </w:rPr>
        <w:t xml:space="preserve">: </w:t>
      </w:r>
      <w:r>
        <w:rPr>
          <w:rFonts w:hint="eastAsia"/>
          <w:i/>
          <w:kern w:val="0"/>
          <w:sz w:val="20"/>
          <w:szCs w:val="20"/>
        </w:rPr>
        <w:t>M</w:t>
      </w:r>
      <w:r>
        <w:rPr>
          <w:i/>
          <w:kern w:val="0"/>
          <w:sz w:val="20"/>
          <w:szCs w:val="20"/>
          <w:lang w:val="en-GB"/>
        </w:rPr>
        <w:t>ultiple</w:t>
      </w:r>
      <w:r>
        <w:rPr>
          <w:bCs/>
          <w:i/>
          <w:kern w:val="0"/>
          <w:sz w:val="20"/>
          <w:szCs w:val="20"/>
        </w:rPr>
        <w:t xml:space="preserve"> beams per</w:t>
      </w:r>
      <w:r>
        <w:rPr>
          <w:bCs/>
          <w:i/>
          <w:kern w:val="0"/>
          <w:sz w:val="20"/>
          <w:szCs w:val="20"/>
          <w:lang w:val="en-GB"/>
        </w:rPr>
        <w:t xml:space="preserve"> </w:t>
      </w:r>
      <w:r>
        <w:rPr>
          <w:bCs/>
          <w:i/>
          <w:kern w:val="0"/>
          <w:sz w:val="20"/>
          <w:szCs w:val="20"/>
        </w:rPr>
        <w:t xml:space="preserve">cell should be </w:t>
      </w:r>
      <w:r>
        <w:rPr>
          <w:rFonts w:hint="eastAsia"/>
          <w:bCs/>
          <w:i/>
          <w:kern w:val="0"/>
          <w:sz w:val="20"/>
          <w:szCs w:val="20"/>
        </w:rPr>
        <w:t xml:space="preserve">supported </w:t>
      </w:r>
      <w:r>
        <w:rPr>
          <w:bCs/>
          <w:i/>
          <w:kern w:val="0"/>
          <w:sz w:val="20"/>
          <w:szCs w:val="20"/>
        </w:rPr>
        <w:t>with potential enhancement to enable the beam management for IoT</w:t>
      </w:r>
      <w:r>
        <w:rPr>
          <w:rFonts w:hint="eastAsia"/>
          <w:bCs/>
          <w:i/>
          <w:kern w:val="0"/>
          <w:sz w:val="20"/>
          <w:szCs w:val="20"/>
        </w:rPr>
        <w:t xml:space="preserve"> </w:t>
      </w:r>
      <w:r>
        <w:rPr>
          <w:rFonts w:hint="eastAsia"/>
          <w:i/>
          <w:kern w:val="0"/>
          <w:sz w:val="20"/>
          <w:szCs w:val="20"/>
        </w:rPr>
        <w:t xml:space="preserve">over </w:t>
      </w:r>
      <w:r>
        <w:rPr>
          <w:bCs/>
          <w:i/>
          <w:kern w:val="0"/>
          <w:sz w:val="20"/>
          <w:szCs w:val="20"/>
        </w:rPr>
        <w:t>NTN.</w:t>
      </w:r>
    </w:p>
    <w:bookmarkEnd w:id="8"/>
    <w:p w:rsidR="00F12CCB" w:rsidRDefault="00F12CCB" w:rsidP="00F12CCB">
      <w:pPr>
        <w:adjustRightInd w:val="0"/>
        <w:snapToGrid w:val="0"/>
        <w:spacing w:afterLines="50" w:after="156"/>
        <w:rPr>
          <w:i/>
          <w:kern w:val="0"/>
          <w:sz w:val="20"/>
          <w:szCs w:val="20"/>
        </w:rPr>
      </w:pPr>
      <w:r>
        <w:rPr>
          <w:b/>
          <w:i/>
          <w:kern w:val="0"/>
          <w:sz w:val="20"/>
          <w:szCs w:val="20"/>
          <w:lang w:val="en-GB"/>
        </w:rPr>
        <w:t xml:space="preserve">Proposal </w:t>
      </w:r>
      <w:r>
        <w:rPr>
          <w:rFonts w:hint="eastAsia"/>
          <w:b/>
          <w:i/>
          <w:kern w:val="0"/>
          <w:sz w:val="20"/>
          <w:szCs w:val="20"/>
        </w:rPr>
        <w:t>2</w:t>
      </w:r>
      <w:r>
        <w:rPr>
          <w:b/>
          <w:i/>
          <w:kern w:val="0"/>
          <w:sz w:val="20"/>
          <w:szCs w:val="20"/>
          <w:lang w:val="en-GB"/>
        </w:rPr>
        <w:t xml:space="preserve">: </w:t>
      </w:r>
      <w:r>
        <w:rPr>
          <w:rFonts w:hint="eastAsia"/>
          <w:i/>
          <w:kern w:val="0"/>
          <w:sz w:val="20"/>
          <w:szCs w:val="20"/>
          <w:lang w:val="en-GB"/>
        </w:rPr>
        <w:t>Mechanism</w:t>
      </w:r>
      <w:r>
        <w:rPr>
          <w:rFonts w:hint="eastAsia"/>
          <w:i/>
          <w:kern w:val="0"/>
          <w:sz w:val="20"/>
          <w:szCs w:val="20"/>
        </w:rPr>
        <w:t>s</w:t>
      </w:r>
      <w:r>
        <w:rPr>
          <w:rFonts w:hint="eastAsia"/>
          <w:i/>
          <w:kern w:val="0"/>
          <w:sz w:val="20"/>
          <w:szCs w:val="20"/>
          <w:lang w:val="en-GB"/>
        </w:rPr>
        <w:t xml:space="preserve"> to enable the </w:t>
      </w:r>
      <w:r>
        <w:rPr>
          <w:i/>
          <w:kern w:val="0"/>
          <w:sz w:val="20"/>
          <w:szCs w:val="20"/>
        </w:rPr>
        <w:t>b</w:t>
      </w:r>
      <w:r>
        <w:rPr>
          <w:rFonts w:hint="eastAsia"/>
          <w:i/>
          <w:kern w:val="0"/>
          <w:sz w:val="20"/>
          <w:szCs w:val="20"/>
        </w:rPr>
        <w:t xml:space="preserve">eam identification in IoT over NTN should be </w:t>
      </w:r>
      <w:r>
        <w:rPr>
          <w:i/>
          <w:kern w:val="0"/>
          <w:sz w:val="20"/>
          <w:szCs w:val="20"/>
        </w:rPr>
        <w:t xml:space="preserve">considered via </w:t>
      </w:r>
      <w:r>
        <w:rPr>
          <w:rFonts w:hint="eastAsia"/>
          <w:i/>
          <w:kern w:val="0"/>
          <w:sz w:val="20"/>
          <w:szCs w:val="20"/>
        </w:rPr>
        <w:t>both explicit and implicit ways.</w:t>
      </w:r>
    </w:p>
    <w:p w:rsidR="00567D49" w:rsidRDefault="00A851D6">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3</w:t>
      </w:r>
      <w:r>
        <w:rPr>
          <w:b/>
          <w:i/>
          <w:kern w:val="0"/>
          <w:sz w:val="20"/>
          <w:szCs w:val="20"/>
          <w:lang w:val="en-GB"/>
        </w:rPr>
        <w:t xml:space="preserve">: </w:t>
      </w:r>
      <w:r>
        <w:rPr>
          <w:rFonts w:hint="eastAsia"/>
          <w:i/>
          <w:kern w:val="0"/>
          <w:sz w:val="20"/>
          <w:szCs w:val="20"/>
        </w:rPr>
        <w:t xml:space="preserve">In IoT over NTN, mapping between beam and frequency resource should be studied. </w:t>
      </w:r>
    </w:p>
    <w:p w:rsidR="00567D49" w:rsidRDefault="00A851D6">
      <w:pPr>
        <w:adjustRightInd w:val="0"/>
        <w:snapToGrid w:val="0"/>
        <w:spacing w:afterLines="50" w:after="156"/>
        <w:rPr>
          <w:i/>
          <w:kern w:val="0"/>
          <w:sz w:val="20"/>
          <w:szCs w:val="20"/>
        </w:rPr>
      </w:pPr>
      <w:r>
        <w:rPr>
          <w:b/>
          <w:i/>
          <w:kern w:val="0"/>
          <w:sz w:val="20"/>
          <w:szCs w:val="20"/>
          <w:lang w:val="en-GB"/>
        </w:rPr>
        <w:lastRenderedPageBreak/>
        <w:t xml:space="preserve">Proposal </w:t>
      </w:r>
      <w:r>
        <w:rPr>
          <w:b/>
          <w:i/>
          <w:kern w:val="0"/>
          <w:sz w:val="20"/>
          <w:szCs w:val="20"/>
        </w:rPr>
        <w:t>4</w:t>
      </w:r>
      <w:r>
        <w:rPr>
          <w:b/>
          <w:i/>
          <w:kern w:val="0"/>
          <w:sz w:val="20"/>
          <w:szCs w:val="20"/>
          <w:lang w:val="en-GB"/>
        </w:rPr>
        <w:t xml:space="preserve">: </w:t>
      </w:r>
      <w:r>
        <w:rPr>
          <w:rFonts w:hint="eastAsia"/>
          <w:i/>
          <w:kern w:val="0"/>
          <w:sz w:val="20"/>
          <w:szCs w:val="20"/>
        </w:rPr>
        <w:t xml:space="preserve">In IoT over NTN, enhanced repeated transmission to tackle the interrupt due to beam switch should be studied. </w:t>
      </w:r>
    </w:p>
    <w:p w:rsidR="00567D49" w:rsidRDefault="00A851D6">
      <w:pPr>
        <w:adjustRightInd w:val="0"/>
        <w:snapToGrid w:val="0"/>
        <w:spacing w:beforeLines="50" w:before="156" w:afterLines="50" w:after="156"/>
        <w:rPr>
          <w:i/>
          <w:kern w:val="0"/>
          <w:sz w:val="20"/>
          <w:szCs w:val="20"/>
        </w:rPr>
      </w:pPr>
      <w:r>
        <w:rPr>
          <w:b/>
          <w:i/>
          <w:kern w:val="0"/>
          <w:sz w:val="20"/>
          <w:szCs w:val="20"/>
          <w:lang w:val="en-GB"/>
        </w:rPr>
        <w:t xml:space="preserve">Proposal </w:t>
      </w:r>
      <w:r>
        <w:rPr>
          <w:b/>
          <w:i/>
          <w:kern w:val="0"/>
          <w:sz w:val="20"/>
          <w:szCs w:val="20"/>
        </w:rPr>
        <w:t>5</w:t>
      </w:r>
      <w:r>
        <w:rPr>
          <w:b/>
          <w:i/>
          <w:kern w:val="0"/>
          <w:sz w:val="20"/>
          <w:szCs w:val="20"/>
          <w:lang w:val="en-GB"/>
        </w:rPr>
        <w:t xml:space="preserve">: </w:t>
      </w:r>
      <w:r>
        <w:rPr>
          <w:rFonts w:hint="eastAsia"/>
          <w:bCs/>
          <w:i/>
          <w:kern w:val="0"/>
          <w:sz w:val="20"/>
          <w:szCs w:val="20"/>
        </w:rPr>
        <w:t>DL p</w:t>
      </w:r>
      <w:r>
        <w:rPr>
          <w:i/>
          <w:kern w:val="0"/>
          <w:sz w:val="20"/>
          <w:szCs w:val="20"/>
        </w:rPr>
        <w:t xml:space="preserve">olarization </w:t>
      </w:r>
      <w:r>
        <w:rPr>
          <w:rFonts w:hint="eastAsia"/>
          <w:i/>
          <w:kern w:val="0"/>
          <w:sz w:val="20"/>
          <w:szCs w:val="20"/>
        </w:rPr>
        <w:t>indicated by SIB or RRC can be considered.</w:t>
      </w:r>
    </w:p>
    <w:p w:rsidR="00567D49" w:rsidRDefault="00A851D6">
      <w:pPr>
        <w:rPr>
          <w:sz w:val="20"/>
          <w:szCs w:val="20"/>
        </w:rPr>
      </w:pPr>
      <w:r>
        <w:rPr>
          <w:b/>
          <w:i/>
          <w:kern w:val="0"/>
          <w:sz w:val="20"/>
          <w:szCs w:val="20"/>
          <w:lang w:val="en-GB"/>
        </w:rPr>
        <w:t xml:space="preserve">Proposal </w:t>
      </w:r>
      <w:r>
        <w:rPr>
          <w:rFonts w:hint="eastAsia"/>
          <w:b/>
          <w:i/>
          <w:kern w:val="0"/>
          <w:sz w:val="20"/>
          <w:szCs w:val="20"/>
        </w:rPr>
        <w:t>6</w:t>
      </w:r>
      <w:r>
        <w:rPr>
          <w:b/>
          <w:i/>
          <w:kern w:val="0"/>
          <w:sz w:val="20"/>
          <w:szCs w:val="20"/>
          <w:lang w:val="en-GB"/>
        </w:rPr>
        <w:t xml:space="preserve">: </w:t>
      </w:r>
      <w:r>
        <w:rPr>
          <w:rFonts w:hint="eastAsia"/>
          <w:i/>
          <w:kern w:val="0"/>
          <w:sz w:val="20"/>
          <w:szCs w:val="20"/>
        </w:rPr>
        <w:t>Enhance the legacy eDRX and PSM techniques to support aperiodic sleep.</w:t>
      </w:r>
    </w:p>
    <w:p w:rsidR="00567D49" w:rsidRDefault="00A851D6">
      <w:pPr>
        <w:numPr>
          <w:ilvl w:val="0"/>
          <w:numId w:val="6"/>
        </w:numPr>
        <w:tabs>
          <w:tab w:val="left" w:pos="432"/>
          <w:tab w:val="left" w:pos="720"/>
          <w:tab w:val="left" w:pos="4827"/>
        </w:tabs>
        <w:autoSpaceDE w:val="0"/>
        <w:autoSpaceDN w:val="0"/>
        <w:adjustRightInd w:val="0"/>
        <w:spacing w:after="120"/>
        <w:ind w:left="432" w:hanging="432"/>
        <w:outlineLvl w:val="0"/>
        <w:rPr>
          <w:sz w:val="20"/>
          <w:szCs w:val="20"/>
        </w:rPr>
      </w:pPr>
      <w:r>
        <w:rPr>
          <w:b/>
          <w:bCs/>
          <w:sz w:val="28"/>
          <w:szCs w:val="28"/>
          <w:lang w:val="en-GB" w:eastAsia="en-US"/>
        </w:rPr>
        <w:t>References</w:t>
      </w:r>
      <w:bookmarkStart w:id="9" w:name="_Ref40282619"/>
      <w:bookmarkEnd w:id="2"/>
      <w:bookmarkEnd w:id="3"/>
      <w:bookmarkEnd w:id="4"/>
    </w:p>
    <w:p w:rsidR="00567D49" w:rsidRDefault="00A851D6">
      <w:pPr>
        <w:pStyle w:val="ListParagraph1"/>
        <w:widowControl/>
        <w:numPr>
          <w:ilvl w:val="0"/>
          <w:numId w:val="7"/>
        </w:numPr>
        <w:jc w:val="left"/>
        <w:rPr>
          <w:sz w:val="20"/>
          <w:szCs w:val="20"/>
        </w:rPr>
      </w:pPr>
      <w:bookmarkStart w:id="10" w:name="_Ref8578"/>
      <w:bookmarkStart w:id="11" w:name="_Ref61339423"/>
      <w:bookmarkEnd w:id="9"/>
      <w:r>
        <w:rPr>
          <w:rFonts w:hint="eastAsia"/>
          <w:sz w:val="20"/>
          <w:szCs w:val="20"/>
        </w:rPr>
        <w:t>RAN1 Chairman</w:t>
      </w:r>
      <w:r>
        <w:rPr>
          <w:sz w:val="20"/>
          <w:szCs w:val="20"/>
        </w:rPr>
        <w:t>’</w:t>
      </w:r>
      <w:r>
        <w:rPr>
          <w:rFonts w:hint="eastAsia"/>
          <w:sz w:val="20"/>
          <w:szCs w:val="20"/>
        </w:rPr>
        <w:t>s note, RAN1#104e, Jan. 2021</w:t>
      </w:r>
      <w:bookmarkEnd w:id="10"/>
    </w:p>
    <w:p w:rsidR="00567D49" w:rsidRDefault="00A851D6">
      <w:pPr>
        <w:pStyle w:val="ListParagraph1"/>
        <w:widowControl/>
        <w:numPr>
          <w:ilvl w:val="0"/>
          <w:numId w:val="7"/>
        </w:numPr>
        <w:jc w:val="left"/>
        <w:rPr>
          <w:sz w:val="20"/>
          <w:szCs w:val="20"/>
        </w:rPr>
      </w:pPr>
      <w:r>
        <w:rPr>
          <w:sz w:val="20"/>
          <w:szCs w:val="20"/>
        </w:rPr>
        <w:t>TR 38.821</w:t>
      </w:r>
      <w:r>
        <w:rPr>
          <w:rFonts w:hint="eastAsia"/>
          <w:sz w:val="20"/>
          <w:szCs w:val="20"/>
        </w:rPr>
        <w:t>,</w:t>
      </w:r>
      <w:r>
        <w:rPr>
          <w:sz w:val="20"/>
          <w:szCs w:val="20"/>
        </w:rPr>
        <w:t xml:space="preserve"> “Solutions for NR to support non-terrestrial networks (NTN)</w:t>
      </w:r>
      <w:bookmarkEnd w:id="11"/>
      <w:r>
        <w:rPr>
          <w:sz w:val="20"/>
          <w:szCs w:val="20"/>
        </w:rPr>
        <w:t>”</w:t>
      </w:r>
    </w:p>
    <w:p w:rsidR="00567D49" w:rsidRDefault="00A851D6">
      <w:pPr>
        <w:pStyle w:val="ListParagraph1"/>
        <w:widowControl/>
        <w:numPr>
          <w:ilvl w:val="0"/>
          <w:numId w:val="7"/>
        </w:numPr>
        <w:jc w:val="left"/>
        <w:rPr>
          <w:sz w:val="20"/>
          <w:szCs w:val="20"/>
        </w:rPr>
      </w:pPr>
      <w:bookmarkStart w:id="12" w:name="_Ref29008"/>
      <w:r>
        <w:rPr>
          <w:rFonts w:hint="eastAsia"/>
          <w:sz w:val="20"/>
          <w:szCs w:val="20"/>
        </w:rPr>
        <w:t>R1-2008856,</w:t>
      </w:r>
      <w:r>
        <w:rPr>
          <w:sz w:val="20"/>
          <w:szCs w:val="20"/>
        </w:rPr>
        <w:t xml:space="preserve"> “</w:t>
      </w:r>
      <w:r>
        <w:rPr>
          <w:rFonts w:hint="eastAsia"/>
          <w:sz w:val="20"/>
          <w:szCs w:val="20"/>
        </w:rPr>
        <w:t>Discussion on power consumption and NPRACH capacity for NTN</w:t>
      </w:r>
      <w:r>
        <w:rPr>
          <w:sz w:val="20"/>
          <w:szCs w:val="20"/>
        </w:rPr>
        <w:t>”</w:t>
      </w:r>
      <w:r>
        <w:rPr>
          <w:rFonts w:hint="eastAsia"/>
          <w:sz w:val="20"/>
          <w:szCs w:val="20"/>
        </w:rPr>
        <w:t>, ZTE, RAN1#104e</w:t>
      </w:r>
      <w:bookmarkEnd w:id="12"/>
    </w:p>
    <w:sectPr w:rsidR="00567D49">
      <w:headerReference w:type="default" r:id="rId27"/>
      <w:footerReference w:type="even" r:id="rId28"/>
      <w:footerReference w:type="default" r:id="rId2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B99" w:rsidRDefault="00E20B99">
      <w:r>
        <w:separator/>
      </w:r>
    </w:p>
  </w:endnote>
  <w:endnote w:type="continuationSeparator" w:id="0">
    <w:p w:rsidR="00E20B99" w:rsidRDefault="00E20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D49" w:rsidRDefault="00A851D6">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567D49" w:rsidRDefault="00567D4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D49" w:rsidRDefault="00A851D6">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5E224A">
      <w:rPr>
        <w:rStyle w:val="ae"/>
        <w:noProof/>
      </w:rPr>
      <w:t>4</w:t>
    </w:r>
    <w:r>
      <w:rPr>
        <w:rStyle w:val="ae"/>
      </w:rPr>
      <w:fldChar w:fldCharType="end"/>
    </w:r>
    <w:r>
      <w:rPr>
        <w:rStyle w:val="ae"/>
        <w:rFonts w:hint="eastAsia"/>
      </w:rPr>
      <w:t>页</w:t>
    </w:r>
  </w:p>
  <w:p w:rsidR="00567D49" w:rsidRDefault="00A851D6">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B99" w:rsidRDefault="00E20B99">
      <w:r>
        <w:separator/>
      </w:r>
    </w:p>
  </w:footnote>
  <w:footnote w:type="continuationSeparator" w:id="0">
    <w:p w:rsidR="00E20B99" w:rsidRDefault="00E20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D49" w:rsidRDefault="00567D4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4CBF6B7"/>
    <w:multiLevelType w:val="multilevel"/>
    <w:tmpl w:val="74CBF6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CE47B09"/>
    <w:multiLevelType w:val="multilevel"/>
    <w:tmpl w:val="7CE47B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01160"/>
    <w:rsid w:val="000069D9"/>
    <w:rsid w:val="00007BE0"/>
    <w:rsid w:val="00011F90"/>
    <w:rsid w:val="0001393E"/>
    <w:rsid w:val="000143DB"/>
    <w:rsid w:val="0002095B"/>
    <w:rsid w:val="000271BA"/>
    <w:rsid w:val="000315D3"/>
    <w:rsid w:val="00032C08"/>
    <w:rsid w:val="00034CEB"/>
    <w:rsid w:val="00036EA2"/>
    <w:rsid w:val="00051A9A"/>
    <w:rsid w:val="0005504E"/>
    <w:rsid w:val="000617FD"/>
    <w:rsid w:val="00061B03"/>
    <w:rsid w:val="00062129"/>
    <w:rsid w:val="000634EC"/>
    <w:rsid w:val="00065F89"/>
    <w:rsid w:val="00074264"/>
    <w:rsid w:val="00075FD7"/>
    <w:rsid w:val="0007608F"/>
    <w:rsid w:val="0008503F"/>
    <w:rsid w:val="000860A7"/>
    <w:rsid w:val="00092939"/>
    <w:rsid w:val="0009735D"/>
    <w:rsid w:val="000B34AF"/>
    <w:rsid w:val="000B6D68"/>
    <w:rsid w:val="000C0DA1"/>
    <w:rsid w:val="000D06A6"/>
    <w:rsid w:val="000D12D3"/>
    <w:rsid w:val="000E2826"/>
    <w:rsid w:val="000E4A9C"/>
    <w:rsid w:val="000E4ABE"/>
    <w:rsid w:val="000E6376"/>
    <w:rsid w:val="000F47FE"/>
    <w:rsid w:val="000F6EAA"/>
    <w:rsid w:val="000F6F55"/>
    <w:rsid w:val="000F7E9B"/>
    <w:rsid w:val="001031A2"/>
    <w:rsid w:val="00105822"/>
    <w:rsid w:val="00110D24"/>
    <w:rsid w:val="00115CC1"/>
    <w:rsid w:val="001169BE"/>
    <w:rsid w:val="0012115D"/>
    <w:rsid w:val="001217D8"/>
    <w:rsid w:val="00126145"/>
    <w:rsid w:val="00126D3F"/>
    <w:rsid w:val="00130A1B"/>
    <w:rsid w:val="00133FB7"/>
    <w:rsid w:val="001408A5"/>
    <w:rsid w:val="00141932"/>
    <w:rsid w:val="00141A65"/>
    <w:rsid w:val="00142AF4"/>
    <w:rsid w:val="001511F5"/>
    <w:rsid w:val="00160D6B"/>
    <w:rsid w:val="00161D7B"/>
    <w:rsid w:val="00163058"/>
    <w:rsid w:val="001660EC"/>
    <w:rsid w:val="001711AA"/>
    <w:rsid w:val="001767E6"/>
    <w:rsid w:val="00190A8D"/>
    <w:rsid w:val="00190C55"/>
    <w:rsid w:val="001930A7"/>
    <w:rsid w:val="001A1268"/>
    <w:rsid w:val="001A47DF"/>
    <w:rsid w:val="001B21A1"/>
    <w:rsid w:val="001B2856"/>
    <w:rsid w:val="001C1F92"/>
    <w:rsid w:val="001C45B2"/>
    <w:rsid w:val="001C4A76"/>
    <w:rsid w:val="001C68FC"/>
    <w:rsid w:val="001D332D"/>
    <w:rsid w:val="001E2CC4"/>
    <w:rsid w:val="001E318F"/>
    <w:rsid w:val="00211CA5"/>
    <w:rsid w:val="00214DB3"/>
    <w:rsid w:val="00214FA0"/>
    <w:rsid w:val="00215A8B"/>
    <w:rsid w:val="00216E0E"/>
    <w:rsid w:val="00222477"/>
    <w:rsid w:val="0022376C"/>
    <w:rsid w:val="002255C5"/>
    <w:rsid w:val="00227101"/>
    <w:rsid w:val="00227ADD"/>
    <w:rsid w:val="002319CB"/>
    <w:rsid w:val="002333B7"/>
    <w:rsid w:val="002414B9"/>
    <w:rsid w:val="002417A7"/>
    <w:rsid w:val="00243AAA"/>
    <w:rsid w:val="00244D42"/>
    <w:rsid w:val="0024534D"/>
    <w:rsid w:val="002467B3"/>
    <w:rsid w:val="002514AF"/>
    <w:rsid w:val="002521E3"/>
    <w:rsid w:val="00256085"/>
    <w:rsid w:val="0025754A"/>
    <w:rsid w:val="00274654"/>
    <w:rsid w:val="002826DF"/>
    <w:rsid w:val="00290E6B"/>
    <w:rsid w:val="00293BAA"/>
    <w:rsid w:val="00294255"/>
    <w:rsid w:val="00294FBD"/>
    <w:rsid w:val="00296AF0"/>
    <w:rsid w:val="002A0854"/>
    <w:rsid w:val="002A5266"/>
    <w:rsid w:val="002B0744"/>
    <w:rsid w:val="002B2B2C"/>
    <w:rsid w:val="002B6800"/>
    <w:rsid w:val="002C031F"/>
    <w:rsid w:val="002D0D22"/>
    <w:rsid w:val="002D35FA"/>
    <w:rsid w:val="002D4DDC"/>
    <w:rsid w:val="002E3A3A"/>
    <w:rsid w:val="002E4DBD"/>
    <w:rsid w:val="002E5194"/>
    <w:rsid w:val="002E62F7"/>
    <w:rsid w:val="002E69E3"/>
    <w:rsid w:val="002F0DF8"/>
    <w:rsid w:val="002F1654"/>
    <w:rsid w:val="002F23FB"/>
    <w:rsid w:val="002F491B"/>
    <w:rsid w:val="002F5C62"/>
    <w:rsid w:val="002F628C"/>
    <w:rsid w:val="003015A4"/>
    <w:rsid w:val="00306448"/>
    <w:rsid w:val="0031063F"/>
    <w:rsid w:val="00312C1A"/>
    <w:rsid w:val="00312DD1"/>
    <w:rsid w:val="00313CA2"/>
    <w:rsid w:val="00314958"/>
    <w:rsid w:val="00316AAB"/>
    <w:rsid w:val="00321C9A"/>
    <w:rsid w:val="0032203E"/>
    <w:rsid w:val="0032290C"/>
    <w:rsid w:val="00324201"/>
    <w:rsid w:val="0032793A"/>
    <w:rsid w:val="00330954"/>
    <w:rsid w:val="0033176D"/>
    <w:rsid w:val="00331D0B"/>
    <w:rsid w:val="00332091"/>
    <w:rsid w:val="00333476"/>
    <w:rsid w:val="00344D56"/>
    <w:rsid w:val="003504B5"/>
    <w:rsid w:val="003510BA"/>
    <w:rsid w:val="003551C4"/>
    <w:rsid w:val="003562B5"/>
    <w:rsid w:val="0036111C"/>
    <w:rsid w:val="003615AC"/>
    <w:rsid w:val="00361E97"/>
    <w:rsid w:val="00365135"/>
    <w:rsid w:val="003655CA"/>
    <w:rsid w:val="003669A2"/>
    <w:rsid w:val="00374E2E"/>
    <w:rsid w:val="00376DBC"/>
    <w:rsid w:val="003779EC"/>
    <w:rsid w:val="0038293D"/>
    <w:rsid w:val="00383F4E"/>
    <w:rsid w:val="003921F6"/>
    <w:rsid w:val="003A2149"/>
    <w:rsid w:val="003A2A06"/>
    <w:rsid w:val="003A4311"/>
    <w:rsid w:val="003B26F6"/>
    <w:rsid w:val="003B3B1B"/>
    <w:rsid w:val="003C2BD4"/>
    <w:rsid w:val="003C53BD"/>
    <w:rsid w:val="003C5920"/>
    <w:rsid w:val="003C7958"/>
    <w:rsid w:val="003D0AC6"/>
    <w:rsid w:val="003D77DC"/>
    <w:rsid w:val="003E520A"/>
    <w:rsid w:val="003F0B5B"/>
    <w:rsid w:val="003F58F6"/>
    <w:rsid w:val="003F7778"/>
    <w:rsid w:val="0040055C"/>
    <w:rsid w:val="00402295"/>
    <w:rsid w:val="00402401"/>
    <w:rsid w:val="004027D0"/>
    <w:rsid w:val="00412A24"/>
    <w:rsid w:val="00413229"/>
    <w:rsid w:val="00414A28"/>
    <w:rsid w:val="00427917"/>
    <w:rsid w:val="00431012"/>
    <w:rsid w:val="00434951"/>
    <w:rsid w:val="00435045"/>
    <w:rsid w:val="004361E8"/>
    <w:rsid w:val="00436B44"/>
    <w:rsid w:val="0044156F"/>
    <w:rsid w:val="004441C5"/>
    <w:rsid w:val="00451765"/>
    <w:rsid w:val="00455EAC"/>
    <w:rsid w:val="0046088D"/>
    <w:rsid w:val="00461847"/>
    <w:rsid w:val="0046439A"/>
    <w:rsid w:val="0046457B"/>
    <w:rsid w:val="00467335"/>
    <w:rsid w:val="00467609"/>
    <w:rsid w:val="004700B2"/>
    <w:rsid w:val="00471B40"/>
    <w:rsid w:val="00473AB3"/>
    <w:rsid w:val="0047465B"/>
    <w:rsid w:val="004751D2"/>
    <w:rsid w:val="00476FF3"/>
    <w:rsid w:val="0048006F"/>
    <w:rsid w:val="0048015D"/>
    <w:rsid w:val="00481411"/>
    <w:rsid w:val="00485E83"/>
    <w:rsid w:val="004A1897"/>
    <w:rsid w:val="004A2207"/>
    <w:rsid w:val="004A2C92"/>
    <w:rsid w:val="004A311E"/>
    <w:rsid w:val="004A3ACA"/>
    <w:rsid w:val="004A4036"/>
    <w:rsid w:val="004A4420"/>
    <w:rsid w:val="004B651C"/>
    <w:rsid w:val="004C2E21"/>
    <w:rsid w:val="004C63EE"/>
    <w:rsid w:val="004C74FA"/>
    <w:rsid w:val="004C7BFA"/>
    <w:rsid w:val="004D3C2F"/>
    <w:rsid w:val="004D3D83"/>
    <w:rsid w:val="004D79CC"/>
    <w:rsid w:val="004E0F77"/>
    <w:rsid w:val="004E4CB6"/>
    <w:rsid w:val="004E6F19"/>
    <w:rsid w:val="004F2953"/>
    <w:rsid w:val="0050247C"/>
    <w:rsid w:val="0051029C"/>
    <w:rsid w:val="00510763"/>
    <w:rsid w:val="005135AD"/>
    <w:rsid w:val="0051579D"/>
    <w:rsid w:val="00516AEA"/>
    <w:rsid w:val="00517D45"/>
    <w:rsid w:val="00520C32"/>
    <w:rsid w:val="00525D37"/>
    <w:rsid w:val="00525F32"/>
    <w:rsid w:val="005303AE"/>
    <w:rsid w:val="0053179B"/>
    <w:rsid w:val="0053293F"/>
    <w:rsid w:val="00540B4F"/>
    <w:rsid w:val="00547345"/>
    <w:rsid w:val="005475D3"/>
    <w:rsid w:val="005566F4"/>
    <w:rsid w:val="00562918"/>
    <w:rsid w:val="00567D49"/>
    <w:rsid w:val="0057125D"/>
    <w:rsid w:val="00573CDF"/>
    <w:rsid w:val="00576785"/>
    <w:rsid w:val="005822A7"/>
    <w:rsid w:val="00582A4D"/>
    <w:rsid w:val="00587E90"/>
    <w:rsid w:val="00593505"/>
    <w:rsid w:val="00594691"/>
    <w:rsid w:val="005A673B"/>
    <w:rsid w:val="005A68BD"/>
    <w:rsid w:val="005B6FC2"/>
    <w:rsid w:val="005C199B"/>
    <w:rsid w:val="005C2A83"/>
    <w:rsid w:val="005C34EB"/>
    <w:rsid w:val="005C7B0C"/>
    <w:rsid w:val="005D030D"/>
    <w:rsid w:val="005D3CEA"/>
    <w:rsid w:val="005D5F8D"/>
    <w:rsid w:val="005D680C"/>
    <w:rsid w:val="005E224A"/>
    <w:rsid w:val="005E5BB8"/>
    <w:rsid w:val="005E6736"/>
    <w:rsid w:val="005F56A6"/>
    <w:rsid w:val="006025DF"/>
    <w:rsid w:val="0060376F"/>
    <w:rsid w:val="006044A1"/>
    <w:rsid w:val="00610FB4"/>
    <w:rsid w:val="00615121"/>
    <w:rsid w:val="006155FD"/>
    <w:rsid w:val="00616BD6"/>
    <w:rsid w:val="00620346"/>
    <w:rsid w:val="006219E9"/>
    <w:rsid w:val="00621D6D"/>
    <w:rsid w:val="00623184"/>
    <w:rsid w:val="00627493"/>
    <w:rsid w:val="00634014"/>
    <w:rsid w:val="00634C50"/>
    <w:rsid w:val="00634ED9"/>
    <w:rsid w:val="00647E24"/>
    <w:rsid w:val="00652E53"/>
    <w:rsid w:val="006578C8"/>
    <w:rsid w:val="00660B67"/>
    <w:rsid w:val="006627F4"/>
    <w:rsid w:val="006628E6"/>
    <w:rsid w:val="00663FF5"/>
    <w:rsid w:val="00667B7F"/>
    <w:rsid w:val="00670A16"/>
    <w:rsid w:val="00676DA6"/>
    <w:rsid w:val="00682170"/>
    <w:rsid w:val="0068513D"/>
    <w:rsid w:val="00690BB8"/>
    <w:rsid w:val="00691184"/>
    <w:rsid w:val="00691335"/>
    <w:rsid w:val="0069393E"/>
    <w:rsid w:val="006946FD"/>
    <w:rsid w:val="006A03E4"/>
    <w:rsid w:val="006A464B"/>
    <w:rsid w:val="006A6C63"/>
    <w:rsid w:val="006B086E"/>
    <w:rsid w:val="006B0A0A"/>
    <w:rsid w:val="006B0D82"/>
    <w:rsid w:val="006B4157"/>
    <w:rsid w:val="006B486B"/>
    <w:rsid w:val="006C2890"/>
    <w:rsid w:val="006C60A2"/>
    <w:rsid w:val="006D07F1"/>
    <w:rsid w:val="006D1532"/>
    <w:rsid w:val="006D1731"/>
    <w:rsid w:val="006D40EF"/>
    <w:rsid w:val="006D7CA8"/>
    <w:rsid w:val="006F1B53"/>
    <w:rsid w:val="00703A53"/>
    <w:rsid w:val="00713A0C"/>
    <w:rsid w:val="00713FB3"/>
    <w:rsid w:val="00714C2F"/>
    <w:rsid w:val="00717679"/>
    <w:rsid w:val="007259B4"/>
    <w:rsid w:val="007304E6"/>
    <w:rsid w:val="00732D39"/>
    <w:rsid w:val="00733A99"/>
    <w:rsid w:val="00737F28"/>
    <w:rsid w:val="007462B3"/>
    <w:rsid w:val="00753713"/>
    <w:rsid w:val="00753792"/>
    <w:rsid w:val="00763814"/>
    <w:rsid w:val="00767214"/>
    <w:rsid w:val="00771468"/>
    <w:rsid w:val="00773474"/>
    <w:rsid w:val="0077500C"/>
    <w:rsid w:val="007770F5"/>
    <w:rsid w:val="00780C4B"/>
    <w:rsid w:val="0078483C"/>
    <w:rsid w:val="00793203"/>
    <w:rsid w:val="00796237"/>
    <w:rsid w:val="00796A2A"/>
    <w:rsid w:val="007978FB"/>
    <w:rsid w:val="007A08C4"/>
    <w:rsid w:val="007A1E50"/>
    <w:rsid w:val="007A2A69"/>
    <w:rsid w:val="007A464F"/>
    <w:rsid w:val="007C2C21"/>
    <w:rsid w:val="007C33E4"/>
    <w:rsid w:val="007C79BA"/>
    <w:rsid w:val="007C7CD7"/>
    <w:rsid w:val="007E49CA"/>
    <w:rsid w:val="007E6309"/>
    <w:rsid w:val="007E72EC"/>
    <w:rsid w:val="007E771D"/>
    <w:rsid w:val="007E78E9"/>
    <w:rsid w:val="007F6AE2"/>
    <w:rsid w:val="007F7F42"/>
    <w:rsid w:val="00801332"/>
    <w:rsid w:val="008035CF"/>
    <w:rsid w:val="00810FFB"/>
    <w:rsid w:val="00815C12"/>
    <w:rsid w:val="00815E7A"/>
    <w:rsid w:val="00821A18"/>
    <w:rsid w:val="00822B6F"/>
    <w:rsid w:val="0082442C"/>
    <w:rsid w:val="00832A12"/>
    <w:rsid w:val="0083422E"/>
    <w:rsid w:val="00835954"/>
    <w:rsid w:val="008556E9"/>
    <w:rsid w:val="0086420F"/>
    <w:rsid w:val="00864992"/>
    <w:rsid w:val="00865033"/>
    <w:rsid w:val="008703C6"/>
    <w:rsid w:val="00871A17"/>
    <w:rsid w:val="00871C35"/>
    <w:rsid w:val="00872250"/>
    <w:rsid w:val="00872C5F"/>
    <w:rsid w:val="00872EE5"/>
    <w:rsid w:val="0088129E"/>
    <w:rsid w:val="00885685"/>
    <w:rsid w:val="00890690"/>
    <w:rsid w:val="008936DA"/>
    <w:rsid w:val="00893D34"/>
    <w:rsid w:val="008A0F56"/>
    <w:rsid w:val="008B7CC1"/>
    <w:rsid w:val="008C0251"/>
    <w:rsid w:val="008C4F68"/>
    <w:rsid w:val="008C5BB5"/>
    <w:rsid w:val="008C624D"/>
    <w:rsid w:val="008C71BC"/>
    <w:rsid w:val="008D31E0"/>
    <w:rsid w:val="008D4B7E"/>
    <w:rsid w:val="008D7817"/>
    <w:rsid w:val="008E0B68"/>
    <w:rsid w:val="008E73BF"/>
    <w:rsid w:val="008E7CCC"/>
    <w:rsid w:val="008F76F6"/>
    <w:rsid w:val="00904D97"/>
    <w:rsid w:val="0090723C"/>
    <w:rsid w:val="009103DA"/>
    <w:rsid w:val="00920268"/>
    <w:rsid w:val="009205DD"/>
    <w:rsid w:val="009261F3"/>
    <w:rsid w:val="009301D9"/>
    <w:rsid w:val="009318D8"/>
    <w:rsid w:val="0093463A"/>
    <w:rsid w:val="009364E5"/>
    <w:rsid w:val="00936AA8"/>
    <w:rsid w:val="00937543"/>
    <w:rsid w:val="00944798"/>
    <w:rsid w:val="009505A8"/>
    <w:rsid w:val="0095126A"/>
    <w:rsid w:val="00956EC5"/>
    <w:rsid w:val="00957C22"/>
    <w:rsid w:val="0096003B"/>
    <w:rsid w:val="0096679F"/>
    <w:rsid w:val="00971DDC"/>
    <w:rsid w:val="00980BA5"/>
    <w:rsid w:val="0098448D"/>
    <w:rsid w:val="0098576C"/>
    <w:rsid w:val="00985C6A"/>
    <w:rsid w:val="0099250C"/>
    <w:rsid w:val="00992DCD"/>
    <w:rsid w:val="00993402"/>
    <w:rsid w:val="0099620B"/>
    <w:rsid w:val="009A3360"/>
    <w:rsid w:val="009A53A4"/>
    <w:rsid w:val="009B0D4F"/>
    <w:rsid w:val="009B2224"/>
    <w:rsid w:val="009B52DD"/>
    <w:rsid w:val="009C03A1"/>
    <w:rsid w:val="009C225A"/>
    <w:rsid w:val="009C2300"/>
    <w:rsid w:val="009C3795"/>
    <w:rsid w:val="009D023D"/>
    <w:rsid w:val="009D6233"/>
    <w:rsid w:val="009D65AB"/>
    <w:rsid w:val="009E1876"/>
    <w:rsid w:val="009E3A6A"/>
    <w:rsid w:val="009E748B"/>
    <w:rsid w:val="009F0CFD"/>
    <w:rsid w:val="009F127C"/>
    <w:rsid w:val="009F1AD5"/>
    <w:rsid w:val="009F7BB7"/>
    <w:rsid w:val="00A03152"/>
    <w:rsid w:val="00A037EE"/>
    <w:rsid w:val="00A061D1"/>
    <w:rsid w:val="00A11699"/>
    <w:rsid w:val="00A13E53"/>
    <w:rsid w:val="00A14885"/>
    <w:rsid w:val="00A17A6F"/>
    <w:rsid w:val="00A21045"/>
    <w:rsid w:val="00A21DB5"/>
    <w:rsid w:val="00A22250"/>
    <w:rsid w:val="00A228FF"/>
    <w:rsid w:val="00A24846"/>
    <w:rsid w:val="00A34667"/>
    <w:rsid w:val="00A37EE1"/>
    <w:rsid w:val="00A40989"/>
    <w:rsid w:val="00A417EA"/>
    <w:rsid w:val="00A4227F"/>
    <w:rsid w:val="00A530FB"/>
    <w:rsid w:val="00A5395A"/>
    <w:rsid w:val="00A53ED7"/>
    <w:rsid w:val="00A54278"/>
    <w:rsid w:val="00A56401"/>
    <w:rsid w:val="00A57F8B"/>
    <w:rsid w:val="00A62325"/>
    <w:rsid w:val="00A63321"/>
    <w:rsid w:val="00A65348"/>
    <w:rsid w:val="00A67053"/>
    <w:rsid w:val="00A736A2"/>
    <w:rsid w:val="00A7378F"/>
    <w:rsid w:val="00A73B20"/>
    <w:rsid w:val="00A773CD"/>
    <w:rsid w:val="00A83E18"/>
    <w:rsid w:val="00A851D6"/>
    <w:rsid w:val="00A87849"/>
    <w:rsid w:val="00A90F08"/>
    <w:rsid w:val="00A91150"/>
    <w:rsid w:val="00A932C2"/>
    <w:rsid w:val="00A9414E"/>
    <w:rsid w:val="00A94ED1"/>
    <w:rsid w:val="00A95088"/>
    <w:rsid w:val="00A963C9"/>
    <w:rsid w:val="00A97070"/>
    <w:rsid w:val="00AA1048"/>
    <w:rsid w:val="00AA16F2"/>
    <w:rsid w:val="00AA7A9D"/>
    <w:rsid w:val="00AB012F"/>
    <w:rsid w:val="00AB1699"/>
    <w:rsid w:val="00AB3416"/>
    <w:rsid w:val="00AB54F9"/>
    <w:rsid w:val="00AC4276"/>
    <w:rsid w:val="00AC581F"/>
    <w:rsid w:val="00AC5A30"/>
    <w:rsid w:val="00AD015D"/>
    <w:rsid w:val="00AD47D1"/>
    <w:rsid w:val="00AE064F"/>
    <w:rsid w:val="00AE0650"/>
    <w:rsid w:val="00AE3614"/>
    <w:rsid w:val="00AE542F"/>
    <w:rsid w:val="00AE5611"/>
    <w:rsid w:val="00AE6D35"/>
    <w:rsid w:val="00AE7865"/>
    <w:rsid w:val="00AF2222"/>
    <w:rsid w:val="00AF260B"/>
    <w:rsid w:val="00AF2AEC"/>
    <w:rsid w:val="00AF5A10"/>
    <w:rsid w:val="00B01E59"/>
    <w:rsid w:val="00B10930"/>
    <w:rsid w:val="00B10C0E"/>
    <w:rsid w:val="00B12666"/>
    <w:rsid w:val="00B12BD7"/>
    <w:rsid w:val="00B13653"/>
    <w:rsid w:val="00B14E15"/>
    <w:rsid w:val="00B16C42"/>
    <w:rsid w:val="00B17DB3"/>
    <w:rsid w:val="00B20EA8"/>
    <w:rsid w:val="00B2328C"/>
    <w:rsid w:val="00B25A43"/>
    <w:rsid w:val="00B26031"/>
    <w:rsid w:val="00B36D7B"/>
    <w:rsid w:val="00B4209B"/>
    <w:rsid w:val="00B47366"/>
    <w:rsid w:val="00B5335E"/>
    <w:rsid w:val="00B6106C"/>
    <w:rsid w:val="00B648AC"/>
    <w:rsid w:val="00B719BF"/>
    <w:rsid w:val="00B725FE"/>
    <w:rsid w:val="00B7432F"/>
    <w:rsid w:val="00B74F6F"/>
    <w:rsid w:val="00B80B2D"/>
    <w:rsid w:val="00B80BAC"/>
    <w:rsid w:val="00B85423"/>
    <w:rsid w:val="00B85716"/>
    <w:rsid w:val="00B85789"/>
    <w:rsid w:val="00B86980"/>
    <w:rsid w:val="00B93131"/>
    <w:rsid w:val="00BA2B7E"/>
    <w:rsid w:val="00BB02E5"/>
    <w:rsid w:val="00BB06DF"/>
    <w:rsid w:val="00BB1599"/>
    <w:rsid w:val="00BB2FC6"/>
    <w:rsid w:val="00BD13A9"/>
    <w:rsid w:val="00BD3618"/>
    <w:rsid w:val="00BD6351"/>
    <w:rsid w:val="00BD7389"/>
    <w:rsid w:val="00BE1116"/>
    <w:rsid w:val="00BE12FC"/>
    <w:rsid w:val="00BE3C13"/>
    <w:rsid w:val="00BE4131"/>
    <w:rsid w:val="00BE7A73"/>
    <w:rsid w:val="00C0619D"/>
    <w:rsid w:val="00C126D3"/>
    <w:rsid w:val="00C23AB9"/>
    <w:rsid w:val="00C240B1"/>
    <w:rsid w:val="00C342E0"/>
    <w:rsid w:val="00C406C7"/>
    <w:rsid w:val="00C4503C"/>
    <w:rsid w:val="00C50168"/>
    <w:rsid w:val="00C55016"/>
    <w:rsid w:val="00C64789"/>
    <w:rsid w:val="00C6506C"/>
    <w:rsid w:val="00C70B51"/>
    <w:rsid w:val="00C839B2"/>
    <w:rsid w:val="00C84D6D"/>
    <w:rsid w:val="00C9097D"/>
    <w:rsid w:val="00C92DF1"/>
    <w:rsid w:val="00C960D7"/>
    <w:rsid w:val="00CA070E"/>
    <w:rsid w:val="00CA232C"/>
    <w:rsid w:val="00CA3DCD"/>
    <w:rsid w:val="00CA57B0"/>
    <w:rsid w:val="00CA5ED9"/>
    <w:rsid w:val="00CA6CDB"/>
    <w:rsid w:val="00CB518E"/>
    <w:rsid w:val="00CC4E13"/>
    <w:rsid w:val="00CD195B"/>
    <w:rsid w:val="00CD29BD"/>
    <w:rsid w:val="00CD3BC6"/>
    <w:rsid w:val="00CE17F9"/>
    <w:rsid w:val="00CE32D8"/>
    <w:rsid w:val="00CE5B07"/>
    <w:rsid w:val="00CF1260"/>
    <w:rsid w:val="00CF3F6F"/>
    <w:rsid w:val="00CF6321"/>
    <w:rsid w:val="00D01F5E"/>
    <w:rsid w:val="00D04EE1"/>
    <w:rsid w:val="00D06599"/>
    <w:rsid w:val="00D112D6"/>
    <w:rsid w:val="00D148A6"/>
    <w:rsid w:val="00D15DF6"/>
    <w:rsid w:val="00D16353"/>
    <w:rsid w:val="00D17830"/>
    <w:rsid w:val="00D2351F"/>
    <w:rsid w:val="00D24566"/>
    <w:rsid w:val="00D2487C"/>
    <w:rsid w:val="00D257C5"/>
    <w:rsid w:val="00D27637"/>
    <w:rsid w:val="00D31B47"/>
    <w:rsid w:val="00D32E8D"/>
    <w:rsid w:val="00D33A9B"/>
    <w:rsid w:val="00D34A37"/>
    <w:rsid w:val="00D4452A"/>
    <w:rsid w:val="00D46F6D"/>
    <w:rsid w:val="00D527D4"/>
    <w:rsid w:val="00D53B36"/>
    <w:rsid w:val="00D61B8C"/>
    <w:rsid w:val="00D648F4"/>
    <w:rsid w:val="00D676BB"/>
    <w:rsid w:val="00D70567"/>
    <w:rsid w:val="00D7212F"/>
    <w:rsid w:val="00D726A0"/>
    <w:rsid w:val="00D76A3C"/>
    <w:rsid w:val="00D85273"/>
    <w:rsid w:val="00D87014"/>
    <w:rsid w:val="00D9447B"/>
    <w:rsid w:val="00DA0A67"/>
    <w:rsid w:val="00DA12AB"/>
    <w:rsid w:val="00DA2A65"/>
    <w:rsid w:val="00DA2EFF"/>
    <w:rsid w:val="00DA673C"/>
    <w:rsid w:val="00DA69FB"/>
    <w:rsid w:val="00DA70A3"/>
    <w:rsid w:val="00DB4FCB"/>
    <w:rsid w:val="00DB5130"/>
    <w:rsid w:val="00DC10D6"/>
    <w:rsid w:val="00DC37AC"/>
    <w:rsid w:val="00DD1EAA"/>
    <w:rsid w:val="00DD4F12"/>
    <w:rsid w:val="00DE0870"/>
    <w:rsid w:val="00DE138A"/>
    <w:rsid w:val="00DE44A1"/>
    <w:rsid w:val="00DE4CCF"/>
    <w:rsid w:val="00E00132"/>
    <w:rsid w:val="00E04D38"/>
    <w:rsid w:val="00E052C7"/>
    <w:rsid w:val="00E10D5A"/>
    <w:rsid w:val="00E15384"/>
    <w:rsid w:val="00E153F6"/>
    <w:rsid w:val="00E17BCD"/>
    <w:rsid w:val="00E20829"/>
    <w:rsid w:val="00E20B99"/>
    <w:rsid w:val="00E220D0"/>
    <w:rsid w:val="00E22B90"/>
    <w:rsid w:val="00E25C8F"/>
    <w:rsid w:val="00E26FED"/>
    <w:rsid w:val="00E3700F"/>
    <w:rsid w:val="00E374CC"/>
    <w:rsid w:val="00E4119B"/>
    <w:rsid w:val="00E43842"/>
    <w:rsid w:val="00E6126F"/>
    <w:rsid w:val="00E6721D"/>
    <w:rsid w:val="00E75EBE"/>
    <w:rsid w:val="00E77401"/>
    <w:rsid w:val="00E83328"/>
    <w:rsid w:val="00E91AA8"/>
    <w:rsid w:val="00E943EE"/>
    <w:rsid w:val="00E94DEA"/>
    <w:rsid w:val="00E966D9"/>
    <w:rsid w:val="00EA28AB"/>
    <w:rsid w:val="00EA3902"/>
    <w:rsid w:val="00EA4355"/>
    <w:rsid w:val="00EA5D95"/>
    <w:rsid w:val="00EA7A18"/>
    <w:rsid w:val="00EB229E"/>
    <w:rsid w:val="00EB7983"/>
    <w:rsid w:val="00EB7E6E"/>
    <w:rsid w:val="00EC026F"/>
    <w:rsid w:val="00EC0499"/>
    <w:rsid w:val="00EC3A16"/>
    <w:rsid w:val="00ED371D"/>
    <w:rsid w:val="00ED4903"/>
    <w:rsid w:val="00ED5971"/>
    <w:rsid w:val="00EE290D"/>
    <w:rsid w:val="00EE47AA"/>
    <w:rsid w:val="00EE5D00"/>
    <w:rsid w:val="00EE7461"/>
    <w:rsid w:val="00EF1002"/>
    <w:rsid w:val="00EF1C11"/>
    <w:rsid w:val="00EF2B3A"/>
    <w:rsid w:val="00EF5AC2"/>
    <w:rsid w:val="00EF708F"/>
    <w:rsid w:val="00F01A21"/>
    <w:rsid w:val="00F02EF8"/>
    <w:rsid w:val="00F06042"/>
    <w:rsid w:val="00F12CCB"/>
    <w:rsid w:val="00F160AB"/>
    <w:rsid w:val="00F16451"/>
    <w:rsid w:val="00F17BD5"/>
    <w:rsid w:val="00F204EA"/>
    <w:rsid w:val="00F25CE3"/>
    <w:rsid w:val="00F275E5"/>
    <w:rsid w:val="00F27B3A"/>
    <w:rsid w:val="00F30688"/>
    <w:rsid w:val="00F3211F"/>
    <w:rsid w:val="00F3242C"/>
    <w:rsid w:val="00F34642"/>
    <w:rsid w:val="00F43D1F"/>
    <w:rsid w:val="00F479AF"/>
    <w:rsid w:val="00F47B46"/>
    <w:rsid w:val="00F5506A"/>
    <w:rsid w:val="00F569C6"/>
    <w:rsid w:val="00F63644"/>
    <w:rsid w:val="00F65031"/>
    <w:rsid w:val="00F901B0"/>
    <w:rsid w:val="00F966DA"/>
    <w:rsid w:val="00F96D4E"/>
    <w:rsid w:val="00F971EF"/>
    <w:rsid w:val="00FA25E7"/>
    <w:rsid w:val="00FA4439"/>
    <w:rsid w:val="00FB259C"/>
    <w:rsid w:val="00FB32E9"/>
    <w:rsid w:val="00FB58E4"/>
    <w:rsid w:val="00FC0A5E"/>
    <w:rsid w:val="00FC35F0"/>
    <w:rsid w:val="00FC6FD2"/>
    <w:rsid w:val="00FC7AB4"/>
    <w:rsid w:val="00FD647B"/>
    <w:rsid w:val="00FD7948"/>
    <w:rsid w:val="00FE1515"/>
    <w:rsid w:val="00FE18C0"/>
    <w:rsid w:val="00FF0AAD"/>
    <w:rsid w:val="00FF5F2B"/>
    <w:rsid w:val="0108091E"/>
    <w:rsid w:val="022C1677"/>
    <w:rsid w:val="02683F31"/>
    <w:rsid w:val="02BD3998"/>
    <w:rsid w:val="02EC5B5D"/>
    <w:rsid w:val="033753C5"/>
    <w:rsid w:val="0384788C"/>
    <w:rsid w:val="03B43C8E"/>
    <w:rsid w:val="044A4897"/>
    <w:rsid w:val="044A6F75"/>
    <w:rsid w:val="05B01129"/>
    <w:rsid w:val="05B2517E"/>
    <w:rsid w:val="05EB39F3"/>
    <w:rsid w:val="062024DC"/>
    <w:rsid w:val="06242E53"/>
    <w:rsid w:val="062838A9"/>
    <w:rsid w:val="06F875BC"/>
    <w:rsid w:val="07220399"/>
    <w:rsid w:val="0726293E"/>
    <w:rsid w:val="077723F3"/>
    <w:rsid w:val="07C55D5F"/>
    <w:rsid w:val="07D7685D"/>
    <w:rsid w:val="08576960"/>
    <w:rsid w:val="08CF1875"/>
    <w:rsid w:val="09754CCA"/>
    <w:rsid w:val="09811E46"/>
    <w:rsid w:val="09FC49E2"/>
    <w:rsid w:val="0AEC632F"/>
    <w:rsid w:val="0B422C35"/>
    <w:rsid w:val="0B717E82"/>
    <w:rsid w:val="0B7F57EF"/>
    <w:rsid w:val="0BE564C6"/>
    <w:rsid w:val="0BF55234"/>
    <w:rsid w:val="0C0029D8"/>
    <w:rsid w:val="0C3C3CDF"/>
    <w:rsid w:val="0C86754F"/>
    <w:rsid w:val="0CA55BD7"/>
    <w:rsid w:val="0CB8585F"/>
    <w:rsid w:val="0CD15817"/>
    <w:rsid w:val="0D043F7A"/>
    <w:rsid w:val="0DB1655A"/>
    <w:rsid w:val="0E4C659A"/>
    <w:rsid w:val="0E7F5540"/>
    <w:rsid w:val="0E987454"/>
    <w:rsid w:val="0EA11EBC"/>
    <w:rsid w:val="0F996934"/>
    <w:rsid w:val="10917785"/>
    <w:rsid w:val="10D613D1"/>
    <w:rsid w:val="114C755C"/>
    <w:rsid w:val="11561791"/>
    <w:rsid w:val="11D84CE7"/>
    <w:rsid w:val="11FC2994"/>
    <w:rsid w:val="120923E2"/>
    <w:rsid w:val="123770EE"/>
    <w:rsid w:val="13800DCC"/>
    <w:rsid w:val="142443E7"/>
    <w:rsid w:val="15896B2E"/>
    <w:rsid w:val="15E60C44"/>
    <w:rsid w:val="15E81E7F"/>
    <w:rsid w:val="168478BF"/>
    <w:rsid w:val="194B422B"/>
    <w:rsid w:val="1A3909F7"/>
    <w:rsid w:val="1AA322A7"/>
    <w:rsid w:val="1ABA3EFE"/>
    <w:rsid w:val="1B266C05"/>
    <w:rsid w:val="1B643CB3"/>
    <w:rsid w:val="1BFB735E"/>
    <w:rsid w:val="1CAA1DDB"/>
    <w:rsid w:val="1CD669B9"/>
    <w:rsid w:val="1CFC7830"/>
    <w:rsid w:val="1D1459CF"/>
    <w:rsid w:val="1D214089"/>
    <w:rsid w:val="1D7C0D06"/>
    <w:rsid w:val="1DEC355F"/>
    <w:rsid w:val="1E26123C"/>
    <w:rsid w:val="1E76621C"/>
    <w:rsid w:val="1EE91390"/>
    <w:rsid w:val="1EEF5EF8"/>
    <w:rsid w:val="1F1A24EF"/>
    <w:rsid w:val="1F4C5F86"/>
    <w:rsid w:val="1FA12BE7"/>
    <w:rsid w:val="205E642E"/>
    <w:rsid w:val="20A80DEA"/>
    <w:rsid w:val="20BC0A88"/>
    <w:rsid w:val="20F65190"/>
    <w:rsid w:val="215329A7"/>
    <w:rsid w:val="223D2660"/>
    <w:rsid w:val="22414948"/>
    <w:rsid w:val="22A2475B"/>
    <w:rsid w:val="22A563CC"/>
    <w:rsid w:val="22E14E60"/>
    <w:rsid w:val="23221DE1"/>
    <w:rsid w:val="233C3F04"/>
    <w:rsid w:val="234110EE"/>
    <w:rsid w:val="236A31AE"/>
    <w:rsid w:val="245B5F87"/>
    <w:rsid w:val="247E3A69"/>
    <w:rsid w:val="25354850"/>
    <w:rsid w:val="256418F2"/>
    <w:rsid w:val="256D1E94"/>
    <w:rsid w:val="25810E77"/>
    <w:rsid w:val="25AE3FA1"/>
    <w:rsid w:val="25F33EF8"/>
    <w:rsid w:val="260B2FD9"/>
    <w:rsid w:val="260B32A4"/>
    <w:rsid w:val="268702AF"/>
    <w:rsid w:val="26933187"/>
    <w:rsid w:val="26D94907"/>
    <w:rsid w:val="27462986"/>
    <w:rsid w:val="27592E47"/>
    <w:rsid w:val="27A823C6"/>
    <w:rsid w:val="281D2DF9"/>
    <w:rsid w:val="28A2283C"/>
    <w:rsid w:val="28B35CBF"/>
    <w:rsid w:val="28DB4E33"/>
    <w:rsid w:val="29793509"/>
    <w:rsid w:val="29A2726F"/>
    <w:rsid w:val="2A6246E1"/>
    <w:rsid w:val="2A851A2F"/>
    <w:rsid w:val="2A9E4A40"/>
    <w:rsid w:val="2BCE75FB"/>
    <w:rsid w:val="2D23035D"/>
    <w:rsid w:val="2D425ABD"/>
    <w:rsid w:val="2DB17A14"/>
    <w:rsid w:val="2DD0735B"/>
    <w:rsid w:val="2E083BF7"/>
    <w:rsid w:val="2F175EE3"/>
    <w:rsid w:val="2F302C7F"/>
    <w:rsid w:val="2F646F25"/>
    <w:rsid w:val="2F6C5E7E"/>
    <w:rsid w:val="2F932FF0"/>
    <w:rsid w:val="2FA56BAD"/>
    <w:rsid w:val="3044312F"/>
    <w:rsid w:val="305D5CE9"/>
    <w:rsid w:val="30A350D1"/>
    <w:rsid w:val="31240C67"/>
    <w:rsid w:val="31291BE3"/>
    <w:rsid w:val="31913905"/>
    <w:rsid w:val="31B74BB1"/>
    <w:rsid w:val="31EB0962"/>
    <w:rsid w:val="320F1266"/>
    <w:rsid w:val="327A411A"/>
    <w:rsid w:val="32FD4EB1"/>
    <w:rsid w:val="33DE4544"/>
    <w:rsid w:val="33F623B9"/>
    <w:rsid w:val="34771FA2"/>
    <w:rsid w:val="35227326"/>
    <w:rsid w:val="354D5A06"/>
    <w:rsid w:val="36325E56"/>
    <w:rsid w:val="36AC0321"/>
    <w:rsid w:val="37D43CE3"/>
    <w:rsid w:val="37ED4BAA"/>
    <w:rsid w:val="381D65AC"/>
    <w:rsid w:val="38B16490"/>
    <w:rsid w:val="38FE08D8"/>
    <w:rsid w:val="39DD79A5"/>
    <w:rsid w:val="3A2E13C3"/>
    <w:rsid w:val="3A6A6355"/>
    <w:rsid w:val="3A854DE7"/>
    <w:rsid w:val="3AE35762"/>
    <w:rsid w:val="3BDB32BC"/>
    <w:rsid w:val="3BF71853"/>
    <w:rsid w:val="3C7F4A5A"/>
    <w:rsid w:val="3D452C55"/>
    <w:rsid w:val="3DA72F70"/>
    <w:rsid w:val="3DC162FC"/>
    <w:rsid w:val="3DFB2BFF"/>
    <w:rsid w:val="3E654B3A"/>
    <w:rsid w:val="3EC8510D"/>
    <w:rsid w:val="3FDB75D4"/>
    <w:rsid w:val="41420944"/>
    <w:rsid w:val="4183450D"/>
    <w:rsid w:val="41B30F84"/>
    <w:rsid w:val="41B7793F"/>
    <w:rsid w:val="43694FC5"/>
    <w:rsid w:val="4403001A"/>
    <w:rsid w:val="44834053"/>
    <w:rsid w:val="44B40008"/>
    <w:rsid w:val="44C70D28"/>
    <w:rsid w:val="44CF2915"/>
    <w:rsid w:val="45605042"/>
    <w:rsid w:val="460214B6"/>
    <w:rsid w:val="46391636"/>
    <w:rsid w:val="46A77A92"/>
    <w:rsid w:val="46AA2CF1"/>
    <w:rsid w:val="46B54F1C"/>
    <w:rsid w:val="46B72A4C"/>
    <w:rsid w:val="46C12FC8"/>
    <w:rsid w:val="46E118DC"/>
    <w:rsid w:val="47495976"/>
    <w:rsid w:val="48342B12"/>
    <w:rsid w:val="485E7990"/>
    <w:rsid w:val="4865241F"/>
    <w:rsid w:val="48F63746"/>
    <w:rsid w:val="49EE4451"/>
    <w:rsid w:val="49FA5B75"/>
    <w:rsid w:val="4A75775E"/>
    <w:rsid w:val="4A7D6949"/>
    <w:rsid w:val="4A7F57CD"/>
    <w:rsid w:val="4A89544D"/>
    <w:rsid w:val="4AFE6907"/>
    <w:rsid w:val="4B4672EB"/>
    <w:rsid w:val="4BDB34F5"/>
    <w:rsid w:val="4C647D3C"/>
    <w:rsid w:val="4CB01EC0"/>
    <w:rsid w:val="4CFA2F97"/>
    <w:rsid w:val="4D206414"/>
    <w:rsid w:val="4D8D1924"/>
    <w:rsid w:val="4EFB3B4C"/>
    <w:rsid w:val="4F2F0AF2"/>
    <w:rsid w:val="4F833DF2"/>
    <w:rsid w:val="4FDE1020"/>
    <w:rsid w:val="5035063E"/>
    <w:rsid w:val="506916AC"/>
    <w:rsid w:val="510425AC"/>
    <w:rsid w:val="512D49DF"/>
    <w:rsid w:val="515B3CD6"/>
    <w:rsid w:val="51614EDF"/>
    <w:rsid w:val="51B40036"/>
    <w:rsid w:val="51F97BC9"/>
    <w:rsid w:val="523D6E85"/>
    <w:rsid w:val="52566830"/>
    <w:rsid w:val="528F675A"/>
    <w:rsid w:val="52E4136A"/>
    <w:rsid w:val="5307346B"/>
    <w:rsid w:val="5363569C"/>
    <w:rsid w:val="53915975"/>
    <w:rsid w:val="539A7696"/>
    <w:rsid w:val="54B47C04"/>
    <w:rsid w:val="54E951A2"/>
    <w:rsid w:val="553D44D4"/>
    <w:rsid w:val="554172FC"/>
    <w:rsid w:val="554D4A13"/>
    <w:rsid w:val="56B25DBD"/>
    <w:rsid w:val="56F3749F"/>
    <w:rsid w:val="57016A14"/>
    <w:rsid w:val="572124A6"/>
    <w:rsid w:val="58093D9A"/>
    <w:rsid w:val="58115EF4"/>
    <w:rsid w:val="58417B4A"/>
    <w:rsid w:val="58617111"/>
    <w:rsid w:val="58A507BC"/>
    <w:rsid w:val="591201EA"/>
    <w:rsid w:val="593674C5"/>
    <w:rsid w:val="59DC4D27"/>
    <w:rsid w:val="59F11BC7"/>
    <w:rsid w:val="59F12FC7"/>
    <w:rsid w:val="5A5D4C83"/>
    <w:rsid w:val="5ADF3007"/>
    <w:rsid w:val="5AF84F57"/>
    <w:rsid w:val="5B650EAF"/>
    <w:rsid w:val="5C6A71CA"/>
    <w:rsid w:val="5D6A4F8A"/>
    <w:rsid w:val="5DC42E04"/>
    <w:rsid w:val="5ED700C7"/>
    <w:rsid w:val="5F5B35F9"/>
    <w:rsid w:val="5F7018F1"/>
    <w:rsid w:val="5F940B73"/>
    <w:rsid w:val="605E0040"/>
    <w:rsid w:val="606006FD"/>
    <w:rsid w:val="6110004D"/>
    <w:rsid w:val="61164C76"/>
    <w:rsid w:val="6188757E"/>
    <w:rsid w:val="62A84FC1"/>
    <w:rsid w:val="63316192"/>
    <w:rsid w:val="63506C72"/>
    <w:rsid w:val="64040342"/>
    <w:rsid w:val="640E0E15"/>
    <w:rsid w:val="64151B2C"/>
    <w:rsid w:val="645547E4"/>
    <w:rsid w:val="64D95B82"/>
    <w:rsid w:val="65322FDF"/>
    <w:rsid w:val="66227358"/>
    <w:rsid w:val="667E2BC8"/>
    <w:rsid w:val="67292F53"/>
    <w:rsid w:val="67743274"/>
    <w:rsid w:val="67957FAB"/>
    <w:rsid w:val="68217031"/>
    <w:rsid w:val="68916848"/>
    <w:rsid w:val="69797C2C"/>
    <w:rsid w:val="6A1A0A73"/>
    <w:rsid w:val="6A7F667C"/>
    <w:rsid w:val="6ADB135B"/>
    <w:rsid w:val="6B7C65BA"/>
    <w:rsid w:val="6BAA395B"/>
    <w:rsid w:val="6BF972C1"/>
    <w:rsid w:val="6C2117FB"/>
    <w:rsid w:val="6C9004BE"/>
    <w:rsid w:val="6DE3633C"/>
    <w:rsid w:val="6E8458AA"/>
    <w:rsid w:val="6E9F35CF"/>
    <w:rsid w:val="6F0319F7"/>
    <w:rsid w:val="6F2A7617"/>
    <w:rsid w:val="6F5E3677"/>
    <w:rsid w:val="6F7A04F8"/>
    <w:rsid w:val="703B6207"/>
    <w:rsid w:val="707413BE"/>
    <w:rsid w:val="70756AA2"/>
    <w:rsid w:val="711A6ED5"/>
    <w:rsid w:val="71A06C84"/>
    <w:rsid w:val="71A12D4A"/>
    <w:rsid w:val="71D403C9"/>
    <w:rsid w:val="727A6FE3"/>
    <w:rsid w:val="72C61A7F"/>
    <w:rsid w:val="73B84BDF"/>
    <w:rsid w:val="740161C4"/>
    <w:rsid w:val="740204EB"/>
    <w:rsid w:val="743B20C8"/>
    <w:rsid w:val="758D6E11"/>
    <w:rsid w:val="77B4768B"/>
    <w:rsid w:val="77D542C4"/>
    <w:rsid w:val="78B00041"/>
    <w:rsid w:val="79113FB4"/>
    <w:rsid w:val="794C0A43"/>
    <w:rsid w:val="7954315B"/>
    <w:rsid w:val="7A4A6DB6"/>
    <w:rsid w:val="7A53086B"/>
    <w:rsid w:val="7A625516"/>
    <w:rsid w:val="7A6972E2"/>
    <w:rsid w:val="7B3939AA"/>
    <w:rsid w:val="7B8D123D"/>
    <w:rsid w:val="7BE70B95"/>
    <w:rsid w:val="7BF73CE0"/>
    <w:rsid w:val="7C2707A8"/>
    <w:rsid w:val="7C584178"/>
    <w:rsid w:val="7CA77E90"/>
    <w:rsid w:val="7D274A0B"/>
    <w:rsid w:val="7DD03503"/>
    <w:rsid w:val="7E741DD2"/>
    <w:rsid w:val="7E815C56"/>
    <w:rsid w:val="7ED9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52E03C-BEDE-43EF-8546-3ED1088E6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pBdr>
        <w:top w:val="none" w:sz="0" w:space="0" w:color="auto"/>
      </w:pBdr>
      <w:spacing w:before="180"/>
      <w:outlineLvl w:val="1"/>
    </w:pPr>
    <w:rPr>
      <w:rFonts w:cs="Times New Roman"/>
      <w:sz w:val="32"/>
      <w:szCs w:val="32"/>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basedOn w:val="a9"/>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1">
    <w:name w:val="List Paragraph"/>
    <w:basedOn w:val="a"/>
    <w:uiPriority w:val="99"/>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link w:val="2"/>
    <w:uiPriority w:val="9"/>
    <w:qFormat/>
    <w:rPr>
      <w:rFonts w:ascii="Arial" w:eastAsia="Times New Roman" w:hAnsi="Arial"/>
      <w:sz w:val="32"/>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20">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D18D24-D25C-4CD7-AA10-BC08D952D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秘密</Template>
  <TotalTime>1</TotalTime>
  <Pages>4</Pages>
  <Words>1234</Words>
  <Characters>7035</Characters>
  <Application>Microsoft Office Word</Application>
  <DocSecurity>0</DocSecurity>
  <Lines>58</Lines>
  <Paragraphs>16</Paragraphs>
  <ScaleCrop>false</ScaleCrop>
  <Company>zte</Company>
  <LinksUpToDate>false</LinksUpToDate>
  <CharactersWithSpaces>8253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7</cp:revision>
  <cp:lastPrinted>2113-01-01T00:00:00Z</cp:lastPrinted>
  <dcterms:created xsi:type="dcterms:W3CDTF">2021-04-02T06:48:00Z</dcterms:created>
  <dcterms:modified xsi:type="dcterms:W3CDTF">2021-04-06T06:12:00Z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